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4D1" w:rsidRDefault="005124D1" w:rsidP="0032101E">
      <w:pPr>
        <w:pStyle w:val="Heading1"/>
        <w:jc w:val="center"/>
      </w:pPr>
    </w:p>
    <w:p w:rsidR="0081298B" w:rsidRDefault="007A3993" w:rsidP="002770AD">
      <w:pPr>
        <w:pStyle w:val="Heading1"/>
        <w:jc w:val="center"/>
        <w:rPr>
          <w:rFonts w:cs="Arial"/>
          <w:szCs w:val="22"/>
        </w:rPr>
      </w:pPr>
      <w:r>
        <w:rPr>
          <w:rFonts w:cs="Arial"/>
          <w:szCs w:val="22"/>
        </w:rPr>
        <w:tab/>
      </w:r>
    </w:p>
    <w:sdt>
      <w:sdtPr>
        <w:id w:val="4470693"/>
        <w:lock w:val="contentLocked"/>
        <w:group/>
      </w:sdtPr>
      <w:sdtContent>
        <w:sdt>
          <w:sdtPr>
            <w:id w:val="4470694"/>
            <w:lock w:val="contentLocked"/>
            <w:picture/>
          </w:sdtPr>
          <w:sdtContent>
            <w:p w:rsidR="006C2D92" w:rsidRDefault="006C2D92" w:rsidP="002770AD">
              <w:pPr>
                <w:pStyle w:val="Heading1"/>
                <w:jc w:val="center"/>
              </w:pPr>
              <w:r>
                <w:rPr>
                  <w:noProof/>
                  <w:lang w:eastAsia="en-ZA"/>
                </w:rPr>
                <w:drawing>
                  <wp:inline distT="0" distB="0" distL="0" distR="0">
                    <wp:extent cx="1000125" cy="657387"/>
                    <wp:effectExtent l="19050" t="0" r="9525" b="0"/>
                    <wp:docPr id="1" name="Picture 1" descr="Compe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etion.jpg"/>
                            <pic:cNvPicPr/>
                          </pic:nvPicPr>
                          <pic:blipFill>
                            <a:blip r:embed="rId8" cstate="print"/>
                            <a:stretch>
                              <a:fillRect/>
                            </a:stretch>
                          </pic:blipFill>
                          <pic:spPr>
                            <a:xfrm>
                              <a:off x="0" y="0"/>
                              <a:ext cx="1014423" cy="666785"/>
                            </a:xfrm>
                            <a:prstGeom prst="rect">
                              <a:avLst/>
                            </a:prstGeom>
                          </pic:spPr>
                        </pic:pic>
                      </a:graphicData>
                    </a:graphic>
                  </wp:inline>
                </w:drawing>
              </w:r>
            </w:p>
          </w:sdtContent>
        </w:sdt>
        <w:p w:rsidR="006C2D92" w:rsidRDefault="006C2D92" w:rsidP="002770AD">
          <w:pPr>
            <w:pStyle w:val="Heading1"/>
            <w:jc w:val="center"/>
          </w:pPr>
        </w:p>
        <w:p w:rsidR="006C2D92" w:rsidRDefault="006C2D92" w:rsidP="002770AD">
          <w:pPr>
            <w:pStyle w:val="Heading1"/>
            <w:jc w:val="center"/>
          </w:pPr>
        </w:p>
        <w:sdt>
          <w:sdtPr>
            <w:id w:val="4470695"/>
            <w:lock w:val="contentLocked"/>
            <w:text/>
          </w:sdtPr>
          <w:sdtContent>
            <w:p w:rsidR="006C2D92" w:rsidRDefault="006C2D92" w:rsidP="002770AD">
              <w:pPr>
                <w:pStyle w:val="Heading1"/>
                <w:ind w:firstLine="720"/>
                <w:jc w:val="center"/>
              </w:pPr>
              <w:r>
                <w:t>COMPETITION TRIBUNAL OF SOUTH AFRICA</w:t>
              </w:r>
            </w:p>
          </w:sdtContent>
        </w:sdt>
      </w:sdtContent>
    </w:sdt>
    <w:p w:rsidR="006C2D92" w:rsidRDefault="006C2D92" w:rsidP="002770AD"/>
    <w:p w:rsidR="006C2D92" w:rsidRDefault="006C2D92" w:rsidP="002770AD">
      <w:pPr>
        <w:pStyle w:val="Heading2"/>
        <w:ind w:left="5040" w:right="-188"/>
        <w:jc w:val="right"/>
      </w:pPr>
      <w:r>
        <w:t xml:space="preserve">Case No: </w:t>
      </w:r>
      <w:r w:rsidR="00D70F65">
        <w:t>018358</w:t>
      </w:r>
    </w:p>
    <w:p w:rsidR="00EB1646" w:rsidRDefault="00EB1646" w:rsidP="00D96F5B">
      <w:pPr>
        <w:ind w:left="7920" w:right="-188" w:firstLine="720"/>
        <w:rPr>
          <w:rFonts w:ascii="Arial" w:hAnsi="Arial" w:cs="Arial"/>
          <w:b/>
          <w:lang w:val="en-ZA"/>
        </w:rPr>
      </w:pPr>
    </w:p>
    <w:p w:rsidR="006C2D92" w:rsidRPr="006033C6" w:rsidRDefault="006C2D92" w:rsidP="002770AD">
      <w:pPr>
        <w:pStyle w:val="BodyText"/>
        <w:spacing w:line="276" w:lineRule="auto"/>
        <w:ind w:right="-188"/>
        <w:rPr>
          <w:sz w:val="24"/>
        </w:rPr>
      </w:pPr>
      <w:r w:rsidRPr="006033C6">
        <w:rPr>
          <w:sz w:val="24"/>
        </w:rPr>
        <w:t>In the m</w:t>
      </w:r>
      <w:r>
        <w:rPr>
          <w:sz w:val="24"/>
        </w:rPr>
        <w:t>atter</w:t>
      </w:r>
      <w:r w:rsidRPr="006033C6">
        <w:rPr>
          <w:sz w:val="24"/>
        </w:rPr>
        <w:t xml:space="preserve"> between: </w:t>
      </w:r>
    </w:p>
    <w:p w:rsidR="006C2D92" w:rsidRDefault="006C2D92" w:rsidP="002770AD">
      <w:pPr>
        <w:pStyle w:val="BodyText"/>
        <w:ind w:right="-188"/>
        <w:rPr>
          <w:b/>
          <w:sz w:val="24"/>
          <w:szCs w:val="24"/>
        </w:rPr>
      </w:pPr>
    </w:p>
    <w:p w:rsidR="006C2D92" w:rsidRPr="00CA177B" w:rsidRDefault="009D5468" w:rsidP="002770AD">
      <w:pPr>
        <w:pStyle w:val="BodyText"/>
        <w:ind w:right="-188"/>
        <w:rPr>
          <w:b/>
          <w:sz w:val="24"/>
          <w:szCs w:val="24"/>
        </w:rPr>
      </w:pPr>
      <w:r w:rsidRPr="009D5468">
        <w:rPr>
          <w:b/>
          <w:bCs/>
          <w:lang w:val="en-ZA"/>
        </w:rPr>
        <w:t>F</w:t>
      </w:r>
      <w:r>
        <w:rPr>
          <w:b/>
          <w:bCs/>
          <w:lang w:val="en-ZA"/>
        </w:rPr>
        <w:t>ERRO INDUSTRIAL PRODUCTS (PTY) LTD</w:t>
      </w:r>
      <w:r w:rsidR="006C2D92" w:rsidRPr="00CA177B">
        <w:rPr>
          <w:rStyle w:val="Style2"/>
          <w:sz w:val="24"/>
          <w:szCs w:val="24"/>
        </w:rPr>
        <w:tab/>
      </w:r>
      <w:r w:rsidR="006C2D92" w:rsidRPr="00CA177B">
        <w:rPr>
          <w:rStyle w:val="Style2"/>
          <w:sz w:val="24"/>
          <w:szCs w:val="24"/>
        </w:rPr>
        <w:tab/>
      </w:r>
      <w:proofErr w:type="gramStart"/>
      <w:r>
        <w:rPr>
          <w:rStyle w:val="Style2"/>
          <w:sz w:val="24"/>
          <w:szCs w:val="24"/>
        </w:rPr>
        <w:t>Acquiring</w:t>
      </w:r>
      <w:proofErr w:type="gramEnd"/>
      <w:r>
        <w:rPr>
          <w:rStyle w:val="Style2"/>
          <w:sz w:val="24"/>
          <w:szCs w:val="24"/>
        </w:rPr>
        <w:t xml:space="preserve"> firm</w:t>
      </w:r>
      <w:r w:rsidR="006C2D92" w:rsidRPr="00CA177B">
        <w:rPr>
          <w:rStyle w:val="Style2"/>
          <w:sz w:val="24"/>
          <w:szCs w:val="24"/>
        </w:rPr>
        <w:t xml:space="preserve">           </w:t>
      </w:r>
    </w:p>
    <w:p w:rsidR="006C2D92" w:rsidRPr="00CA177B" w:rsidRDefault="006C2D92" w:rsidP="002770AD">
      <w:pPr>
        <w:pStyle w:val="NoSpacing"/>
      </w:pPr>
    </w:p>
    <w:p w:rsidR="006C2D92" w:rsidRPr="00CA177B" w:rsidRDefault="006C2D92" w:rsidP="002770AD">
      <w:pPr>
        <w:pStyle w:val="Heading3"/>
        <w:spacing w:line="240" w:lineRule="auto"/>
        <w:ind w:right="-188"/>
        <w:rPr>
          <w:b w:val="0"/>
          <w:bCs w:val="0"/>
          <w:sz w:val="24"/>
          <w:szCs w:val="24"/>
          <w:u w:val="none"/>
        </w:rPr>
      </w:pPr>
      <w:proofErr w:type="gramStart"/>
      <w:r w:rsidRPr="00CA177B">
        <w:rPr>
          <w:b w:val="0"/>
          <w:bCs w:val="0"/>
          <w:sz w:val="24"/>
          <w:szCs w:val="24"/>
          <w:u w:val="none"/>
        </w:rPr>
        <w:t>and</w:t>
      </w:r>
      <w:proofErr w:type="gramEnd"/>
    </w:p>
    <w:p w:rsidR="006C2D92" w:rsidRPr="00CA177B" w:rsidRDefault="006C2D92" w:rsidP="002770AD">
      <w:pPr>
        <w:ind w:right="-188"/>
        <w:rPr>
          <w:lang w:val="en-ZA"/>
        </w:rPr>
      </w:pPr>
    </w:p>
    <w:p w:rsidR="006C2D92" w:rsidRDefault="009D5468" w:rsidP="002770AD">
      <w:pPr>
        <w:spacing w:line="360" w:lineRule="auto"/>
        <w:ind w:right="-188"/>
        <w:rPr>
          <w:rStyle w:val="Style2"/>
        </w:rPr>
      </w:pPr>
      <w:r>
        <w:rPr>
          <w:rStyle w:val="Style2"/>
        </w:rPr>
        <w:t>ARKEMA RESINS (PTY) LTD</w:t>
      </w:r>
      <w:r w:rsidR="006C2D92" w:rsidRPr="00CA177B">
        <w:rPr>
          <w:rStyle w:val="Style2"/>
        </w:rPr>
        <w:tab/>
      </w:r>
      <w:r w:rsidR="006C2D92" w:rsidRPr="00CA177B">
        <w:rPr>
          <w:rStyle w:val="Style2"/>
        </w:rPr>
        <w:tab/>
      </w:r>
      <w:r>
        <w:rPr>
          <w:rStyle w:val="Style2"/>
        </w:rPr>
        <w:tab/>
      </w:r>
      <w:r>
        <w:rPr>
          <w:rStyle w:val="Style2"/>
        </w:rPr>
        <w:tab/>
        <w:t>Target firm</w:t>
      </w:r>
      <w:r w:rsidR="006C2D92">
        <w:rPr>
          <w:rStyle w:val="Style2"/>
        </w:rPr>
        <w:t xml:space="preserve">            </w:t>
      </w:r>
    </w:p>
    <w:p w:rsidR="006C2D92" w:rsidRPr="00D363A7" w:rsidRDefault="006C2D92" w:rsidP="002770AD">
      <w:pPr>
        <w:pStyle w:val="NoSpacing"/>
      </w:pPr>
      <w:r>
        <w:rPr>
          <w:rStyle w:val="CharacterStyle2"/>
          <w:rFonts w:ascii="Arial" w:hAnsi="Arial" w:cs="Arial"/>
          <w:spacing w:val="-2"/>
          <w:sz w:val="24"/>
          <w:szCs w:val="24"/>
        </w:rPr>
        <w:tab/>
      </w:r>
      <w:r>
        <w:tab/>
      </w:r>
      <w:r>
        <w:tab/>
      </w:r>
      <w:r w:rsidRPr="00D363A7">
        <w:tab/>
      </w:r>
      <w:r w:rsidRPr="00D363A7">
        <w:tab/>
      </w:r>
      <w:r w:rsidRPr="00D363A7">
        <w:tab/>
      </w:r>
    </w:p>
    <w:p w:rsidR="006C2D92" w:rsidRPr="00D363A7" w:rsidRDefault="00282911" w:rsidP="002770AD">
      <w:pPr>
        <w:ind w:right="-188"/>
      </w:pPr>
      <w:r>
        <w:rPr>
          <w:noProof/>
          <w:lang w:val="en-ZA" w:eastAsia="en-ZA"/>
        </w:rPr>
        <w:pict>
          <v:line id="Straight Connector 36" o:spid="_x0000_s1026" style="position:absolute;z-index:251711488;visibility:visible;mso-wrap-distance-top:-1e-4mm;mso-wrap-distance-bottom:-1e-4mm" from="0,4.85pt" to="451.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PKtHw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"/>
        </w:pict>
      </w:r>
    </w:p>
    <w:p w:rsidR="006C2D92" w:rsidRPr="00A55C2D" w:rsidRDefault="00282911" w:rsidP="002770AD">
      <w:pPr>
        <w:spacing w:line="276" w:lineRule="auto"/>
        <w:ind w:left="720" w:right="-188" w:hanging="720"/>
        <w:rPr>
          <w:rFonts w:ascii="Arial" w:hAnsi="Arial" w:cs="Arial"/>
        </w:rPr>
      </w:pPr>
      <w:sdt>
        <w:sdtPr>
          <w:rPr>
            <w:rFonts w:ascii="Arial" w:hAnsi="Arial" w:cs="Arial"/>
            <w:sz w:val="22"/>
            <w:szCs w:val="22"/>
          </w:rPr>
          <w:id w:val="4470696"/>
          <w:text/>
        </w:sdtPr>
        <w:sdtContent>
          <w:r w:rsidR="006C2D92">
            <w:rPr>
              <w:rFonts w:ascii="Arial" w:hAnsi="Arial" w:cs="Arial"/>
              <w:sz w:val="22"/>
              <w:szCs w:val="22"/>
              <w:lang w:val="en-ZA"/>
            </w:rPr>
            <w:t>Panel</w:t>
          </w:r>
          <w:r w:rsidR="006C2D92">
            <w:rPr>
              <w:rFonts w:ascii="Arial" w:hAnsi="Arial" w:cs="Arial"/>
              <w:sz w:val="22"/>
              <w:szCs w:val="22"/>
              <w:lang w:val="en-ZA"/>
            </w:rPr>
            <w:tab/>
          </w:r>
          <w:r w:rsidR="006C2D92">
            <w:rPr>
              <w:rFonts w:ascii="Arial" w:hAnsi="Arial" w:cs="Arial"/>
              <w:sz w:val="22"/>
              <w:szCs w:val="22"/>
              <w:lang w:val="en-ZA"/>
            </w:rPr>
            <w:tab/>
          </w:r>
          <w:r w:rsidR="006C2D92">
            <w:rPr>
              <w:rFonts w:ascii="Arial" w:hAnsi="Arial" w:cs="Arial"/>
              <w:sz w:val="22"/>
              <w:szCs w:val="22"/>
              <w:lang w:val="en-ZA"/>
            </w:rPr>
            <w:tab/>
            <w:t>:</w:t>
          </w:r>
        </w:sdtContent>
      </w:sdt>
      <w:r w:rsidR="006C2D92" w:rsidRPr="00A55ACE">
        <w:rPr>
          <w:rFonts w:ascii="Arial" w:hAnsi="Arial" w:cs="Arial"/>
        </w:rPr>
        <w:tab/>
      </w:r>
      <w:r w:rsidR="007A2615" w:rsidRPr="00A55C2D">
        <w:rPr>
          <w:rFonts w:ascii="Arial" w:hAnsi="Arial" w:cs="Arial"/>
        </w:rPr>
        <w:t xml:space="preserve">Andreas Wessels </w:t>
      </w:r>
      <w:r w:rsidR="001E69FC">
        <w:rPr>
          <w:rFonts w:ascii="Arial" w:hAnsi="Arial" w:cs="Arial"/>
        </w:rPr>
        <w:tab/>
      </w:r>
      <w:r w:rsidR="006C2D92" w:rsidRPr="00A55C2D">
        <w:rPr>
          <w:rFonts w:ascii="Arial" w:hAnsi="Arial" w:cs="Arial"/>
        </w:rPr>
        <w:t>(Presiding Member)</w:t>
      </w:r>
      <w:r w:rsidR="006C2D92" w:rsidRPr="00A55C2D">
        <w:rPr>
          <w:rFonts w:ascii="Arial" w:hAnsi="Arial" w:cs="Arial"/>
        </w:rPr>
        <w:tab/>
      </w:r>
      <w:r w:rsidR="006C2D92" w:rsidRPr="00A55C2D">
        <w:rPr>
          <w:rFonts w:ascii="Arial" w:hAnsi="Arial" w:cs="Arial"/>
        </w:rPr>
        <w:tab/>
      </w:r>
      <w:r w:rsidR="006C2D92" w:rsidRPr="00A55C2D">
        <w:rPr>
          <w:rFonts w:ascii="Arial" w:hAnsi="Arial" w:cs="Arial"/>
        </w:rPr>
        <w:tab/>
      </w:r>
      <w:r w:rsidR="006C2D92" w:rsidRPr="00A55C2D">
        <w:rPr>
          <w:rFonts w:ascii="Arial" w:hAnsi="Arial" w:cs="Arial"/>
        </w:rPr>
        <w:tab/>
      </w:r>
      <w:r w:rsidR="006C2D92" w:rsidRPr="00A55C2D">
        <w:rPr>
          <w:rFonts w:ascii="Arial" w:hAnsi="Arial" w:cs="Arial"/>
        </w:rPr>
        <w:tab/>
      </w:r>
      <w:r w:rsidR="006C2D92" w:rsidRPr="00A55C2D">
        <w:rPr>
          <w:rFonts w:ascii="Arial" w:hAnsi="Arial" w:cs="Arial"/>
        </w:rPr>
        <w:tab/>
      </w:r>
      <w:r w:rsidR="006C2D92">
        <w:rPr>
          <w:rFonts w:ascii="Arial" w:hAnsi="Arial" w:cs="Arial"/>
        </w:rPr>
        <w:tab/>
      </w:r>
      <w:r w:rsidR="00353AC1">
        <w:rPr>
          <w:rFonts w:ascii="Arial" w:hAnsi="Arial" w:cs="Arial"/>
        </w:rPr>
        <w:t>Mondo</w:t>
      </w:r>
      <w:r w:rsidR="006C2D92" w:rsidRPr="00A55C2D">
        <w:rPr>
          <w:rFonts w:ascii="Arial" w:hAnsi="Arial" w:cs="Arial"/>
        </w:rPr>
        <w:t xml:space="preserve"> </w:t>
      </w:r>
      <w:r w:rsidR="009724A1">
        <w:rPr>
          <w:rFonts w:ascii="Arial" w:hAnsi="Arial" w:cs="Arial"/>
        </w:rPr>
        <w:t xml:space="preserve">Mazwai </w:t>
      </w:r>
      <w:r w:rsidR="001E69FC">
        <w:rPr>
          <w:rFonts w:ascii="Arial" w:hAnsi="Arial" w:cs="Arial"/>
        </w:rPr>
        <w:tab/>
      </w:r>
      <w:r w:rsidR="006C2D92" w:rsidRPr="00A55C2D">
        <w:rPr>
          <w:rFonts w:ascii="Arial" w:hAnsi="Arial" w:cs="Arial"/>
        </w:rPr>
        <w:t xml:space="preserve">(Tribunal Member) </w:t>
      </w:r>
    </w:p>
    <w:p w:rsidR="006C2D92" w:rsidRPr="00A55ACE" w:rsidRDefault="00353AC1" w:rsidP="002770AD">
      <w:pPr>
        <w:spacing w:line="276" w:lineRule="auto"/>
        <w:ind w:left="2160" w:right="-188" w:firstLine="720"/>
        <w:rPr>
          <w:rFonts w:ascii="Arial" w:hAnsi="Arial" w:cs="Arial"/>
        </w:rPr>
      </w:pPr>
      <w:r>
        <w:rPr>
          <w:rFonts w:ascii="Arial" w:hAnsi="Arial" w:cs="Arial"/>
        </w:rPr>
        <w:t>Medi</w:t>
      </w:r>
      <w:r w:rsidR="006C2D92" w:rsidRPr="00A55C2D">
        <w:rPr>
          <w:rFonts w:ascii="Arial" w:hAnsi="Arial" w:cs="Arial"/>
        </w:rPr>
        <w:t xml:space="preserve"> </w:t>
      </w:r>
      <w:r w:rsidR="00D70F65">
        <w:rPr>
          <w:rFonts w:ascii="Arial" w:hAnsi="Arial" w:cs="Arial"/>
        </w:rPr>
        <w:t>Mokuena</w:t>
      </w:r>
      <w:r w:rsidR="009724A1">
        <w:rPr>
          <w:rFonts w:ascii="Arial" w:hAnsi="Arial" w:cs="Arial"/>
        </w:rPr>
        <w:t xml:space="preserve"> </w:t>
      </w:r>
      <w:r w:rsidR="001E69FC">
        <w:rPr>
          <w:rFonts w:ascii="Arial" w:hAnsi="Arial" w:cs="Arial"/>
        </w:rPr>
        <w:tab/>
      </w:r>
      <w:r w:rsidR="006C2D92" w:rsidRPr="00A55C2D">
        <w:rPr>
          <w:rFonts w:ascii="Arial" w:hAnsi="Arial" w:cs="Arial"/>
        </w:rPr>
        <w:t>(Tribunal Member)</w:t>
      </w:r>
    </w:p>
    <w:p w:rsidR="007A2615" w:rsidRPr="00A55ACE" w:rsidRDefault="006C2D92" w:rsidP="007A2615">
      <w:pPr>
        <w:tabs>
          <w:tab w:val="left" w:pos="2127"/>
        </w:tabs>
        <w:spacing w:line="276" w:lineRule="auto"/>
        <w:ind w:left="2880" w:right="-188" w:hanging="2880"/>
        <w:rPr>
          <w:rFonts w:ascii="Arial" w:hAnsi="Arial" w:cs="Arial"/>
        </w:rPr>
      </w:pPr>
      <w:r>
        <w:rPr>
          <w:rFonts w:ascii="Arial" w:hAnsi="Arial" w:cs="Arial"/>
          <w:sz w:val="22"/>
          <w:szCs w:val="22"/>
          <w:lang w:val="en-ZA"/>
        </w:rPr>
        <w:t>Heard on</w:t>
      </w:r>
      <w:r>
        <w:rPr>
          <w:rFonts w:ascii="Arial" w:hAnsi="Arial" w:cs="Arial"/>
          <w:sz w:val="22"/>
          <w:szCs w:val="22"/>
          <w:lang w:val="en-ZA"/>
        </w:rPr>
        <w:tab/>
        <w:t>:</w:t>
      </w:r>
      <w:r w:rsidRPr="00A55ACE">
        <w:rPr>
          <w:rFonts w:ascii="Arial" w:hAnsi="Arial" w:cs="Arial"/>
        </w:rPr>
        <w:tab/>
      </w:r>
      <w:r w:rsidR="00D70F65" w:rsidRPr="00D70F65">
        <w:rPr>
          <w:rFonts w:ascii="Arial" w:hAnsi="Arial" w:cs="Arial"/>
        </w:rPr>
        <w:t xml:space="preserve">14 </w:t>
      </w:r>
      <w:r w:rsidR="00353AC1" w:rsidRPr="00D70F65">
        <w:rPr>
          <w:rFonts w:ascii="Arial" w:hAnsi="Arial" w:cs="Arial"/>
        </w:rPr>
        <w:t xml:space="preserve">to </w:t>
      </w:r>
      <w:r w:rsidR="00D70F65" w:rsidRPr="00D70F65">
        <w:rPr>
          <w:rFonts w:ascii="Arial" w:hAnsi="Arial" w:cs="Arial"/>
        </w:rPr>
        <w:t>28</w:t>
      </w:r>
      <w:r w:rsidR="00353AC1">
        <w:rPr>
          <w:rFonts w:ascii="Arial" w:hAnsi="Arial" w:cs="Arial"/>
        </w:rPr>
        <w:t xml:space="preserve"> July 2014</w:t>
      </w:r>
    </w:p>
    <w:p w:rsidR="006C2D92" w:rsidRPr="00A55ACE" w:rsidRDefault="00282911" w:rsidP="002770AD">
      <w:pPr>
        <w:spacing w:line="276" w:lineRule="auto"/>
        <w:ind w:right="-188"/>
        <w:rPr>
          <w:rFonts w:ascii="Arial" w:hAnsi="Arial" w:cs="Arial"/>
        </w:rPr>
      </w:pPr>
      <w:sdt>
        <w:sdtPr>
          <w:rPr>
            <w:rFonts w:ascii="Arial" w:hAnsi="Arial" w:cs="Arial"/>
            <w:sz w:val="22"/>
            <w:szCs w:val="22"/>
          </w:rPr>
          <w:id w:val="4470698"/>
          <w:lock w:val="contentLocked"/>
          <w:text/>
        </w:sdtPr>
        <w:sdtContent>
          <w:r w:rsidR="006C2D92">
            <w:rPr>
              <w:rFonts w:ascii="Arial" w:hAnsi="Arial" w:cs="Arial"/>
              <w:sz w:val="22"/>
              <w:szCs w:val="22"/>
              <w:lang w:val="en-ZA"/>
            </w:rPr>
            <w:t>Order issued on</w:t>
          </w:r>
          <w:r w:rsidR="006C2D92">
            <w:rPr>
              <w:rFonts w:ascii="Arial" w:hAnsi="Arial" w:cs="Arial"/>
              <w:sz w:val="22"/>
              <w:szCs w:val="22"/>
              <w:lang w:val="en-ZA"/>
            </w:rPr>
            <w:tab/>
            <w:t>:</w:t>
          </w:r>
        </w:sdtContent>
      </w:sdt>
      <w:r w:rsidR="006C2D92" w:rsidRPr="00A55ACE">
        <w:rPr>
          <w:rFonts w:ascii="Arial" w:hAnsi="Arial" w:cs="Arial"/>
        </w:rPr>
        <w:tab/>
      </w:r>
      <w:r w:rsidR="00D70F65">
        <w:rPr>
          <w:rFonts w:ascii="Arial" w:hAnsi="Arial" w:cs="Arial"/>
        </w:rPr>
        <w:t>04</w:t>
      </w:r>
      <w:r w:rsidR="007A2615">
        <w:rPr>
          <w:rFonts w:ascii="Arial" w:hAnsi="Arial" w:cs="Arial"/>
        </w:rPr>
        <w:t xml:space="preserve"> August</w:t>
      </w:r>
      <w:r w:rsidR="006C2D92">
        <w:rPr>
          <w:rFonts w:ascii="Arial" w:hAnsi="Arial" w:cs="Arial"/>
          <w:lang w:val="en-ZA"/>
        </w:rPr>
        <w:t xml:space="preserve"> 2014</w:t>
      </w:r>
    </w:p>
    <w:p w:rsidR="006C2D92" w:rsidRDefault="00282911" w:rsidP="002770AD">
      <w:pPr>
        <w:spacing w:line="276" w:lineRule="auto"/>
        <w:ind w:right="-188"/>
        <w:rPr>
          <w:rFonts w:ascii="Arial" w:hAnsi="Arial" w:cs="Arial"/>
          <w:lang w:val="en-ZA"/>
        </w:rPr>
      </w:pPr>
      <w:sdt>
        <w:sdtPr>
          <w:rPr>
            <w:rFonts w:ascii="Arial" w:hAnsi="Arial" w:cs="Arial"/>
            <w:sz w:val="22"/>
            <w:szCs w:val="22"/>
          </w:rPr>
          <w:id w:val="4470699"/>
          <w:lock w:val="contentLocked"/>
          <w:text/>
        </w:sdtPr>
        <w:sdtEndPr>
          <w:rPr>
            <w:sz w:val="24"/>
            <w:szCs w:val="24"/>
          </w:rPr>
        </w:sdtEndPr>
        <w:sdtContent>
          <w:r w:rsidR="006C2D92">
            <w:rPr>
              <w:rFonts w:ascii="Arial" w:hAnsi="Arial" w:cs="Arial"/>
              <w:sz w:val="22"/>
              <w:szCs w:val="22"/>
              <w:lang w:val="en-ZA"/>
            </w:rPr>
            <w:t>Reasons issued on</w:t>
          </w:r>
          <w:r w:rsidR="006C2D92">
            <w:rPr>
              <w:rFonts w:ascii="Arial" w:hAnsi="Arial" w:cs="Arial"/>
              <w:sz w:val="22"/>
              <w:szCs w:val="22"/>
              <w:lang w:val="en-ZA"/>
            </w:rPr>
            <w:tab/>
            <w:t>:</w:t>
          </w:r>
        </w:sdtContent>
      </w:sdt>
      <w:r w:rsidR="006C2D92" w:rsidRPr="00A55ACE">
        <w:rPr>
          <w:rFonts w:ascii="Arial" w:hAnsi="Arial" w:cs="Arial"/>
        </w:rPr>
        <w:tab/>
      </w:r>
      <w:r w:rsidR="00500623" w:rsidRPr="00500623">
        <w:rPr>
          <w:rFonts w:ascii="Arial" w:hAnsi="Arial" w:cs="Arial"/>
        </w:rPr>
        <w:t>25</w:t>
      </w:r>
      <w:r w:rsidR="00361B8D">
        <w:rPr>
          <w:rFonts w:ascii="Arial" w:hAnsi="Arial" w:cs="Arial"/>
        </w:rPr>
        <w:t xml:space="preserve"> </w:t>
      </w:r>
      <w:r w:rsidR="003C5C81">
        <w:rPr>
          <w:rFonts w:ascii="Arial" w:hAnsi="Arial" w:cs="Arial"/>
        </w:rPr>
        <w:t>September</w:t>
      </w:r>
      <w:r w:rsidR="006C2D92">
        <w:rPr>
          <w:rFonts w:ascii="Arial" w:hAnsi="Arial" w:cs="Arial"/>
        </w:rPr>
        <w:t xml:space="preserve"> </w:t>
      </w:r>
      <w:r w:rsidR="006C2D92">
        <w:rPr>
          <w:rFonts w:ascii="Arial" w:hAnsi="Arial" w:cs="Arial"/>
          <w:lang w:val="en-ZA"/>
        </w:rPr>
        <w:t>2014</w:t>
      </w:r>
    </w:p>
    <w:p w:rsidR="006C2D92" w:rsidRDefault="006C2D92" w:rsidP="002770AD">
      <w:pPr>
        <w:spacing w:line="276" w:lineRule="auto"/>
        <w:ind w:right="-188"/>
        <w:rPr>
          <w:rFonts w:ascii="Arial" w:hAnsi="Arial" w:cs="Arial"/>
          <w:lang w:val="en-ZA"/>
        </w:rPr>
      </w:pPr>
    </w:p>
    <w:p w:rsidR="00C56D69" w:rsidRPr="00D363A7" w:rsidRDefault="00282911" w:rsidP="00C56D69">
      <w:pPr>
        <w:pStyle w:val="ListParagraph"/>
        <w:ind w:left="360" w:right="-188"/>
      </w:pPr>
      <w:r>
        <w:rPr>
          <w:noProof/>
          <w:lang w:val="en-ZA" w:eastAsia="en-ZA"/>
        </w:rPr>
        <w:pict>
          <v:line id="Straight Connector 35" o:spid="_x0000_s1031" style="position:absolute;left:0;text-align:left;z-index:251699200;visibility:visible;mso-wrap-distance-top:-1e-4mm;mso-wrap-distance-bottom:-1e-4mm" from="0,6.55pt" to="451.4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" strokeweight="1pt"/>
        </w:pict>
      </w:r>
    </w:p>
    <w:p w:rsidR="00C56D69" w:rsidRDefault="00C56D69" w:rsidP="00C56D69">
      <w:pPr>
        <w:pStyle w:val="Heading2"/>
        <w:spacing w:line="360" w:lineRule="auto"/>
        <w:ind w:left="360" w:right="-188"/>
      </w:pPr>
      <w:r>
        <w:t>Decision</w:t>
      </w:r>
    </w:p>
    <w:p w:rsidR="00C56D69" w:rsidRPr="00D363A7" w:rsidRDefault="00282911" w:rsidP="00C56D69">
      <w:pPr>
        <w:pStyle w:val="ListParagraph"/>
        <w:ind w:left="360" w:right="-188"/>
      </w:pPr>
      <w:r>
        <w:rPr>
          <w:noProof/>
          <w:lang w:val="en-ZA" w:eastAsia="en-ZA"/>
        </w:rPr>
        <w:pict>
          <v:line id="Straight Connector 34" o:spid="_x0000_s1030" style="position:absolute;left:0;text-align:left;z-index:251700224;visibility:visible;mso-wrap-distance-top:-1e-4mm;mso-wrap-distance-bottom:-1e-4mm" from="0,4.6pt" to="451.4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" strokeweight="1pt"/>
        </w:pict>
      </w:r>
    </w:p>
    <w:p w:rsidR="00C56D69" w:rsidRPr="004F0DC2" w:rsidRDefault="00C56D69" w:rsidP="00C56D69">
      <w:pPr>
        <w:pStyle w:val="NoSpacing"/>
        <w:ind w:left="360"/>
        <w:rPr>
          <w:rFonts w:ascii="Arial" w:hAnsi="Arial" w:cs="Arial"/>
        </w:rPr>
      </w:pPr>
    </w:p>
    <w:p w:rsidR="005124D1" w:rsidRPr="004F0DC2" w:rsidRDefault="007A2615" w:rsidP="0032101E">
      <w:pPr>
        <w:spacing w:line="360" w:lineRule="auto"/>
        <w:ind w:right="-188"/>
        <w:jc w:val="both"/>
        <w:rPr>
          <w:rFonts w:ascii="Arial" w:hAnsi="Arial" w:cs="Arial"/>
          <w:b/>
          <w:caps/>
        </w:rPr>
      </w:pPr>
      <w:r>
        <w:rPr>
          <w:rFonts w:ascii="Arial" w:hAnsi="Arial" w:cs="Arial"/>
          <w:b/>
          <w:caps/>
        </w:rPr>
        <w:t>CONDITIONAL APPROVAL</w:t>
      </w:r>
    </w:p>
    <w:p w:rsidR="005124D1" w:rsidRPr="004F0DC2" w:rsidRDefault="005124D1" w:rsidP="0032101E">
      <w:pPr>
        <w:rPr>
          <w:rFonts w:ascii="Arial" w:hAnsi="Arial" w:cs="Arial"/>
        </w:rPr>
      </w:pPr>
    </w:p>
    <w:p w:rsidR="003C5C81" w:rsidRPr="003C5C81" w:rsidRDefault="003C5C81" w:rsidP="0080582B">
      <w:pPr>
        <w:pStyle w:val="ListParagraph"/>
        <w:numPr>
          <w:ilvl w:val="0"/>
          <w:numId w:val="2"/>
        </w:numPr>
        <w:tabs>
          <w:tab w:val="num" w:pos="567"/>
        </w:tabs>
        <w:spacing w:after="240" w:line="360" w:lineRule="auto"/>
        <w:ind w:left="0" w:firstLine="0"/>
        <w:jc w:val="both"/>
        <w:rPr>
          <w:rFonts w:ascii="Arial" w:hAnsi="Arial" w:cs="Arial"/>
        </w:rPr>
      </w:pPr>
      <w:r w:rsidRPr="003C5C81">
        <w:rPr>
          <w:rFonts w:ascii="Arial" w:hAnsi="Arial" w:cs="Arial"/>
        </w:rPr>
        <w:t xml:space="preserve">On </w:t>
      </w:r>
      <w:r w:rsidR="009B370F">
        <w:rPr>
          <w:rFonts w:ascii="Arial" w:hAnsi="Arial" w:cs="Arial"/>
        </w:rPr>
        <w:t>04</w:t>
      </w:r>
      <w:r w:rsidRPr="003C5C81">
        <w:rPr>
          <w:rFonts w:ascii="Arial" w:hAnsi="Arial" w:cs="Arial"/>
        </w:rPr>
        <w:t xml:space="preserve"> August 2014, the Competition Tribunal (“Tribunal”) in terms of section 16(2)(b) of the Competition Act</w:t>
      </w:r>
      <w:r>
        <w:rPr>
          <w:rFonts w:ascii="Arial" w:hAnsi="Arial" w:cs="Arial"/>
        </w:rPr>
        <w:t xml:space="preserve"> of</w:t>
      </w:r>
      <w:r w:rsidRPr="003C5C81">
        <w:rPr>
          <w:rFonts w:ascii="Arial" w:hAnsi="Arial" w:cs="Arial"/>
        </w:rPr>
        <w:t xml:space="preserve"> 1998</w:t>
      </w:r>
      <w:r>
        <w:rPr>
          <w:rStyle w:val="FootnoteReference"/>
          <w:rFonts w:ascii="Arial" w:hAnsi="Arial" w:cs="Arial"/>
        </w:rPr>
        <w:footnoteReference w:id="1"/>
      </w:r>
      <w:r w:rsidRPr="003C5C81">
        <w:rPr>
          <w:rFonts w:ascii="Arial" w:hAnsi="Arial" w:cs="Arial"/>
        </w:rPr>
        <w:t xml:space="preserve"> (“the Act”) conditionally approved the acquisition by </w:t>
      </w:r>
      <w:r w:rsidRPr="00691ACF">
        <w:rPr>
          <w:rFonts w:ascii="Arial" w:hAnsi="Arial" w:cs="Arial"/>
        </w:rPr>
        <w:t xml:space="preserve">Ferro Industrial Products (Pty) Ltd </w:t>
      </w:r>
      <w:r>
        <w:rPr>
          <w:rFonts w:ascii="Arial" w:hAnsi="Arial" w:cs="Arial"/>
        </w:rPr>
        <w:t>(“</w:t>
      </w:r>
      <w:r w:rsidRPr="001C620A">
        <w:rPr>
          <w:rFonts w:ascii="Arial" w:hAnsi="Arial" w:cs="Arial"/>
        </w:rPr>
        <w:t>Ferro</w:t>
      </w:r>
      <w:r>
        <w:rPr>
          <w:rFonts w:ascii="Arial" w:hAnsi="Arial" w:cs="Arial"/>
        </w:rPr>
        <w:t xml:space="preserve">”) </w:t>
      </w:r>
      <w:r w:rsidRPr="003C5C81">
        <w:rPr>
          <w:rFonts w:ascii="Arial" w:hAnsi="Arial" w:cs="Arial"/>
        </w:rPr>
        <w:t xml:space="preserve">of </w:t>
      </w:r>
      <w:r w:rsidRPr="00691ACF">
        <w:rPr>
          <w:rFonts w:ascii="Arial" w:hAnsi="Arial" w:cs="Arial"/>
        </w:rPr>
        <w:t xml:space="preserve">Arkema Resins (Pty) Ltd </w:t>
      </w:r>
      <w:r>
        <w:rPr>
          <w:rFonts w:ascii="Arial" w:hAnsi="Arial" w:cs="Arial"/>
        </w:rPr>
        <w:t>(“</w:t>
      </w:r>
      <w:r w:rsidRPr="009A35B5">
        <w:rPr>
          <w:rFonts w:ascii="Arial" w:hAnsi="Arial" w:cs="Arial"/>
        </w:rPr>
        <w:t>Arkema</w:t>
      </w:r>
      <w:r>
        <w:rPr>
          <w:rFonts w:ascii="Arial" w:hAnsi="Arial" w:cs="Arial"/>
        </w:rPr>
        <w:t xml:space="preserve"> SA”)</w:t>
      </w:r>
      <w:r w:rsidRPr="003C5C81">
        <w:rPr>
          <w:rFonts w:ascii="Arial" w:hAnsi="Arial" w:cs="Arial"/>
        </w:rPr>
        <w:t xml:space="preserve">. </w:t>
      </w:r>
    </w:p>
    <w:p w:rsidR="003C5C81" w:rsidRPr="003C5C81" w:rsidRDefault="003C5C81" w:rsidP="0080582B">
      <w:pPr>
        <w:pStyle w:val="ListParagraph"/>
        <w:numPr>
          <w:ilvl w:val="0"/>
          <w:numId w:val="2"/>
        </w:numPr>
        <w:tabs>
          <w:tab w:val="num" w:pos="567"/>
        </w:tabs>
        <w:spacing w:after="240" w:line="360" w:lineRule="auto"/>
        <w:ind w:left="0" w:firstLine="0"/>
        <w:jc w:val="both"/>
        <w:rPr>
          <w:rFonts w:ascii="Arial" w:hAnsi="Arial" w:cs="Arial"/>
        </w:rPr>
      </w:pPr>
      <w:r w:rsidRPr="003C5C81">
        <w:rPr>
          <w:rFonts w:ascii="Arial" w:hAnsi="Arial" w:cs="Arial"/>
        </w:rPr>
        <w:t>The reasons for the conditional approval of the proposed transaction follow.</w:t>
      </w:r>
    </w:p>
    <w:p w:rsidR="001D1BEE" w:rsidRDefault="001D1BEE" w:rsidP="003C5C81"/>
    <w:p w:rsidR="003C5C81" w:rsidRDefault="003C5C81" w:rsidP="001C620A">
      <w:pPr>
        <w:pStyle w:val="ListParagraph"/>
        <w:spacing w:after="240" w:line="360" w:lineRule="auto"/>
        <w:ind w:left="0"/>
        <w:jc w:val="both"/>
        <w:rPr>
          <w:rFonts w:ascii="Arial" w:hAnsi="Arial" w:cs="Arial"/>
          <w:b/>
        </w:rPr>
      </w:pPr>
    </w:p>
    <w:p w:rsidR="001C620A" w:rsidRPr="001C620A" w:rsidRDefault="001C620A" w:rsidP="001C620A">
      <w:pPr>
        <w:pStyle w:val="ListParagraph"/>
        <w:spacing w:after="240" w:line="360" w:lineRule="auto"/>
        <w:ind w:left="0"/>
        <w:jc w:val="both"/>
        <w:rPr>
          <w:rFonts w:ascii="Arial" w:hAnsi="Arial" w:cs="Arial"/>
          <w:b/>
        </w:rPr>
      </w:pPr>
      <w:r w:rsidRPr="001C620A">
        <w:rPr>
          <w:rFonts w:ascii="Arial" w:hAnsi="Arial" w:cs="Arial"/>
          <w:b/>
        </w:rPr>
        <w:lastRenderedPageBreak/>
        <w:t>Parties to transaction</w:t>
      </w:r>
    </w:p>
    <w:p w:rsidR="005A006F" w:rsidRDefault="001C620A" w:rsidP="0080582B">
      <w:pPr>
        <w:pStyle w:val="ListParagraph"/>
        <w:numPr>
          <w:ilvl w:val="0"/>
          <w:numId w:val="2"/>
        </w:numPr>
        <w:tabs>
          <w:tab w:val="num" w:pos="567"/>
        </w:tabs>
        <w:spacing w:after="240" w:line="360" w:lineRule="auto"/>
        <w:ind w:left="0" w:firstLine="0"/>
        <w:jc w:val="both"/>
        <w:rPr>
          <w:rFonts w:ascii="Arial" w:hAnsi="Arial" w:cs="Arial"/>
        </w:rPr>
      </w:pPr>
      <w:r w:rsidRPr="001C620A">
        <w:rPr>
          <w:rFonts w:ascii="Arial" w:hAnsi="Arial" w:cs="Arial"/>
        </w:rPr>
        <w:t xml:space="preserve">The acquiring firm is </w:t>
      </w:r>
      <w:r w:rsidRPr="00691ACF">
        <w:rPr>
          <w:rFonts w:ascii="Arial" w:hAnsi="Arial" w:cs="Arial"/>
        </w:rPr>
        <w:t>Ferro</w:t>
      </w:r>
      <w:r w:rsidRPr="001C620A">
        <w:rPr>
          <w:rFonts w:ascii="Arial" w:hAnsi="Arial" w:cs="Arial"/>
        </w:rPr>
        <w:t>, a private company jointly controlled by management shareholders (51%) and Investec Bank Limited</w:t>
      </w:r>
      <w:r w:rsidR="007A3993" w:rsidRPr="001C620A">
        <w:rPr>
          <w:rFonts w:ascii="Arial" w:hAnsi="Arial" w:cs="Arial"/>
        </w:rPr>
        <w:t xml:space="preserve"> </w:t>
      </w:r>
      <w:r w:rsidRPr="001C620A">
        <w:rPr>
          <w:rFonts w:ascii="Arial" w:hAnsi="Arial" w:cs="Arial"/>
        </w:rPr>
        <w:t xml:space="preserve">(49%). </w:t>
      </w:r>
    </w:p>
    <w:p w:rsidR="009A35B5" w:rsidRPr="009A35B5" w:rsidRDefault="001C620A" w:rsidP="0080582B">
      <w:pPr>
        <w:pStyle w:val="ListParagraph"/>
        <w:numPr>
          <w:ilvl w:val="0"/>
          <w:numId w:val="2"/>
        </w:numPr>
        <w:tabs>
          <w:tab w:val="num" w:pos="567"/>
        </w:tabs>
        <w:spacing w:after="240" w:line="360" w:lineRule="auto"/>
        <w:ind w:left="0" w:firstLine="0"/>
        <w:jc w:val="both"/>
        <w:rPr>
          <w:rFonts w:ascii="Arial" w:hAnsi="Arial" w:cs="Arial"/>
        </w:rPr>
      </w:pPr>
      <w:r w:rsidRPr="009A35B5">
        <w:rPr>
          <w:rFonts w:ascii="Arial" w:hAnsi="Arial" w:cs="Arial"/>
        </w:rPr>
        <w:t>Ferro operates within the industrial chemicals sector and its activities comprise six divisions</w:t>
      </w:r>
      <w:r w:rsidR="003C5C81">
        <w:rPr>
          <w:rFonts w:ascii="Arial" w:hAnsi="Arial" w:cs="Arial"/>
        </w:rPr>
        <w:t>,</w:t>
      </w:r>
      <w:r w:rsidRPr="009A35B5">
        <w:rPr>
          <w:rFonts w:ascii="Arial" w:hAnsi="Arial" w:cs="Arial"/>
        </w:rPr>
        <w:t xml:space="preserve"> namely </w:t>
      </w:r>
      <w:r w:rsidR="003C5C81">
        <w:rPr>
          <w:rFonts w:ascii="Arial" w:hAnsi="Arial" w:cs="Arial"/>
        </w:rPr>
        <w:t xml:space="preserve">(i) </w:t>
      </w:r>
      <w:r w:rsidRPr="009A35B5">
        <w:rPr>
          <w:rFonts w:ascii="Arial" w:hAnsi="Arial" w:cs="Arial"/>
        </w:rPr>
        <w:t>the powder coatings division</w:t>
      </w:r>
      <w:r w:rsidR="003C5C81">
        <w:rPr>
          <w:rFonts w:ascii="Arial" w:hAnsi="Arial" w:cs="Arial"/>
        </w:rPr>
        <w:t>;</w:t>
      </w:r>
      <w:r w:rsidRPr="009A35B5">
        <w:rPr>
          <w:rFonts w:ascii="Arial" w:hAnsi="Arial" w:cs="Arial"/>
        </w:rPr>
        <w:t xml:space="preserve"> </w:t>
      </w:r>
      <w:r w:rsidR="003C5C81">
        <w:rPr>
          <w:rFonts w:ascii="Arial" w:hAnsi="Arial" w:cs="Arial"/>
        </w:rPr>
        <w:t xml:space="preserve">(ii) </w:t>
      </w:r>
      <w:r w:rsidRPr="009A35B5">
        <w:rPr>
          <w:rFonts w:ascii="Arial" w:hAnsi="Arial" w:cs="Arial"/>
        </w:rPr>
        <w:t>the plastics division</w:t>
      </w:r>
      <w:r w:rsidR="003C5C81">
        <w:rPr>
          <w:rFonts w:ascii="Arial" w:hAnsi="Arial" w:cs="Arial"/>
        </w:rPr>
        <w:t>;</w:t>
      </w:r>
      <w:r w:rsidRPr="009A35B5">
        <w:rPr>
          <w:rFonts w:ascii="Arial" w:hAnsi="Arial" w:cs="Arial"/>
        </w:rPr>
        <w:t xml:space="preserve"> </w:t>
      </w:r>
      <w:r w:rsidR="003C5C81">
        <w:rPr>
          <w:rFonts w:ascii="Arial" w:hAnsi="Arial" w:cs="Arial"/>
        </w:rPr>
        <w:t xml:space="preserve">(iii) </w:t>
      </w:r>
      <w:r w:rsidRPr="009A35B5">
        <w:rPr>
          <w:rFonts w:ascii="Arial" w:hAnsi="Arial" w:cs="Arial"/>
        </w:rPr>
        <w:t>the enamels and ceramics division</w:t>
      </w:r>
      <w:r w:rsidR="003C5C81">
        <w:rPr>
          <w:rFonts w:ascii="Arial" w:hAnsi="Arial" w:cs="Arial"/>
        </w:rPr>
        <w:t>;</w:t>
      </w:r>
      <w:r w:rsidRPr="009A35B5">
        <w:rPr>
          <w:rFonts w:ascii="Arial" w:hAnsi="Arial" w:cs="Arial"/>
        </w:rPr>
        <w:t xml:space="preserve"> </w:t>
      </w:r>
      <w:proofErr w:type="gramStart"/>
      <w:r w:rsidR="003C5C81">
        <w:rPr>
          <w:rFonts w:ascii="Arial" w:hAnsi="Arial" w:cs="Arial"/>
        </w:rPr>
        <w:t xml:space="preserve">(iv) </w:t>
      </w:r>
      <w:r w:rsidRPr="009A35B5">
        <w:rPr>
          <w:rFonts w:ascii="Arial" w:hAnsi="Arial" w:cs="Arial"/>
        </w:rPr>
        <w:t>the</w:t>
      </w:r>
      <w:proofErr w:type="gramEnd"/>
      <w:r w:rsidRPr="009A35B5">
        <w:rPr>
          <w:rFonts w:ascii="Arial" w:hAnsi="Arial" w:cs="Arial"/>
        </w:rPr>
        <w:t xml:space="preserve"> glass colours division</w:t>
      </w:r>
      <w:r w:rsidR="003C5C81">
        <w:rPr>
          <w:rFonts w:ascii="Arial" w:hAnsi="Arial" w:cs="Arial"/>
        </w:rPr>
        <w:t>;</w:t>
      </w:r>
      <w:r w:rsidRPr="009A35B5">
        <w:rPr>
          <w:rFonts w:ascii="Arial" w:hAnsi="Arial" w:cs="Arial"/>
        </w:rPr>
        <w:t xml:space="preserve"> </w:t>
      </w:r>
      <w:r w:rsidR="003C5C81">
        <w:rPr>
          <w:rFonts w:ascii="Arial" w:hAnsi="Arial" w:cs="Arial"/>
        </w:rPr>
        <w:t xml:space="preserve">(v) </w:t>
      </w:r>
      <w:r w:rsidRPr="009A35B5">
        <w:rPr>
          <w:rFonts w:ascii="Arial" w:hAnsi="Arial" w:cs="Arial"/>
        </w:rPr>
        <w:t>the spectrum ceramics division</w:t>
      </w:r>
      <w:r w:rsidR="003C5C81">
        <w:rPr>
          <w:rFonts w:ascii="Arial" w:hAnsi="Arial" w:cs="Arial"/>
        </w:rPr>
        <w:t>;</w:t>
      </w:r>
      <w:r w:rsidRPr="009A35B5">
        <w:rPr>
          <w:rFonts w:ascii="Arial" w:hAnsi="Arial" w:cs="Arial"/>
        </w:rPr>
        <w:t xml:space="preserve"> and </w:t>
      </w:r>
      <w:r w:rsidR="003C5C81">
        <w:rPr>
          <w:rFonts w:ascii="Arial" w:hAnsi="Arial" w:cs="Arial"/>
        </w:rPr>
        <w:t xml:space="preserve">(vi) </w:t>
      </w:r>
      <w:r w:rsidRPr="009A35B5">
        <w:rPr>
          <w:rFonts w:ascii="Arial" w:hAnsi="Arial" w:cs="Arial"/>
        </w:rPr>
        <w:t>the resin</w:t>
      </w:r>
      <w:r w:rsidR="00B27B55">
        <w:rPr>
          <w:rFonts w:ascii="Arial" w:hAnsi="Arial" w:cs="Arial"/>
        </w:rPr>
        <w:t>s</w:t>
      </w:r>
      <w:r w:rsidRPr="009A35B5">
        <w:rPr>
          <w:rFonts w:ascii="Arial" w:hAnsi="Arial" w:cs="Arial"/>
        </w:rPr>
        <w:t xml:space="preserve"> division.</w:t>
      </w:r>
      <w:r w:rsidR="005A006F" w:rsidRPr="009A35B5">
        <w:rPr>
          <w:rFonts w:ascii="Arial" w:hAnsi="Arial" w:cs="Arial"/>
        </w:rPr>
        <w:t xml:space="preserve"> </w:t>
      </w:r>
      <w:r w:rsidRPr="009A35B5">
        <w:rPr>
          <w:rFonts w:ascii="Arial" w:hAnsi="Arial" w:cs="Arial"/>
        </w:rPr>
        <w:t xml:space="preserve">Of relevance for the </w:t>
      </w:r>
      <w:r w:rsidR="005A006F" w:rsidRPr="009A35B5">
        <w:rPr>
          <w:rFonts w:ascii="Arial" w:hAnsi="Arial" w:cs="Arial"/>
        </w:rPr>
        <w:t xml:space="preserve">competition </w:t>
      </w:r>
      <w:r w:rsidRPr="009A35B5">
        <w:rPr>
          <w:rFonts w:ascii="Arial" w:hAnsi="Arial" w:cs="Arial"/>
        </w:rPr>
        <w:t xml:space="preserve">assessment of the proposed transaction is </w:t>
      </w:r>
      <w:r w:rsidR="005A006F" w:rsidRPr="009A35B5">
        <w:rPr>
          <w:rFonts w:ascii="Arial" w:hAnsi="Arial" w:cs="Arial"/>
        </w:rPr>
        <w:t>Ferro’s</w:t>
      </w:r>
      <w:r w:rsidRPr="009A35B5">
        <w:rPr>
          <w:rFonts w:ascii="Arial" w:hAnsi="Arial" w:cs="Arial"/>
        </w:rPr>
        <w:t xml:space="preserve"> resins division which operates through </w:t>
      </w:r>
      <w:r w:rsidR="005A006F" w:rsidRPr="009A35B5">
        <w:rPr>
          <w:rFonts w:ascii="Arial" w:hAnsi="Arial" w:cs="Arial"/>
        </w:rPr>
        <w:t>its</w:t>
      </w:r>
      <w:r w:rsidRPr="009A35B5">
        <w:rPr>
          <w:rFonts w:ascii="Arial" w:hAnsi="Arial" w:cs="Arial"/>
        </w:rPr>
        <w:t xml:space="preserve"> only wholly-owned subsidiary, NCS Resins (Pty)</w:t>
      </w:r>
      <w:r w:rsidR="009A35B5" w:rsidRPr="009A35B5">
        <w:rPr>
          <w:rFonts w:ascii="Arial" w:hAnsi="Arial" w:cs="Arial"/>
        </w:rPr>
        <w:t xml:space="preserve"> Ltd (“NCS”).</w:t>
      </w:r>
    </w:p>
    <w:p w:rsidR="00E53E90" w:rsidRDefault="009A35B5" w:rsidP="0080582B">
      <w:pPr>
        <w:pStyle w:val="ListParagraph"/>
        <w:numPr>
          <w:ilvl w:val="0"/>
          <w:numId w:val="2"/>
        </w:numPr>
        <w:tabs>
          <w:tab w:val="num" w:pos="567"/>
        </w:tabs>
        <w:spacing w:after="240" w:line="360" w:lineRule="auto"/>
        <w:ind w:left="0" w:firstLine="0"/>
        <w:jc w:val="both"/>
        <w:rPr>
          <w:rFonts w:ascii="Arial" w:hAnsi="Arial" w:cs="Arial"/>
        </w:rPr>
      </w:pPr>
      <w:r w:rsidRPr="009A35B5">
        <w:rPr>
          <w:rFonts w:ascii="Arial" w:hAnsi="Arial" w:cs="Arial"/>
        </w:rPr>
        <w:t xml:space="preserve">NCS </w:t>
      </w:r>
      <w:r w:rsidR="007A3993">
        <w:rPr>
          <w:rFonts w:ascii="Arial" w:hAnsi="Arial" w:cs="Arial"/>
        </w:rPr>
        <w:t>manufactures</w:t>
      </w:r>
      <w:r w:rsidR="007A3993" w:rsidRPr="009A35B5">
        <w:rPr>
          <w:rFonts w:ascii="Arial" w:hAnsi="Arial" w:cs="Arial"/>
        </w:rPr>
        <w:t xml:space="preserve"> </w:t>
      </w:r>
      <w:r w:rsidRPr="009A35B5">
        <w:rPr>
          <w:rFonts w:ascii="Arial" w:hAnsi="Arial" w:cs="Arial"/>
        </w:rPr>
        <w:t>and distributes a complete range of unsaturated polyester resins</w:t>
      </w:r>
      <w:r w:rsidR="00E62A91">
        <w:rPr>
          <w:rFonts w:ascii="Arial" w:hAnsi="Arial" w:cs="Arial"/>
        </w:rPr>
        <w:t xml:space="preserve"> (</w:t>
      </w:r>
      <w:r w:rsidR="000A66B4">
        <w:rPr>
          <w:rFonts w:ascii="Arial" w:hAnsi="Arial" w:cs="Arial"/>
        </w:rPr>
        <w:t>“</w:t>
      </w:r>
      <w:r w:rsidR="00E62A91">
        <w:rPr>
          <w:rFonts w:ascii="Arial" w:hAnsi="Arial" w:cs="Arial"/>
        </w:rPr>
        <w:t>UPRs</w:t>
      </w:r>
      <w:r w:rsidR="000A66B4">
        <w:rPr>
          <w:rFonts w:ascii="Arial" w:hAnsi="Arial" w:cs="Arial"/>
        </w:rPr>
        <w:t>”</w:t>
      </w:r>
      <w:r w:rsidR="00E62A91">
        <w:rPr>
          <w:rFonts w:ascii="Arial" w:hAnsi="Arial" w:cs="Arial"/>
        </w:rPr>
        <w:t>)</w:t>
      </w:r>
      <w:r w:rsidRPr="009A35B5">
        <w:rPr>
          <w:rFonts w:ascii="Arial" w:hAnsi="Arial" w:cs="Arial"/>
        </w:rPr>
        <w:t xml:space="preserve">. It also </w:t>
      </w:r>
      <w:r w:rsidR="00E53E90">
        <w:rPr>
          <w:rFonts w:ascii="Arial" w:hAnsi="Arial" w:cs="Arial"/>
        </w:rPr>
        <w:t>manufactures</w:t>
      </w:r>
      <w:r w:rsidRPr="009A35B5">
        <w:rPr>
          <w:rFonts w:ascii="Arial" w:hAnsi="Arial" w:cs="Arial"/>
        </w:rPr>
        <w:t xml:space="preserve"> and supplies ancillary products, gel coats (which are essentially UPRs with pigment), pool coats, flow coats, pigments, catalysts</w:t>
      </w:r>
      <w:r w:rsidR="00E53E90">
        <w:rPr>
          <w:rFonts w:ascii="Arial" w:hAnsi="Arial" w:cs="Arial"/>
        </w:rPr>
        <w:t xml:space="preserve"> and</w:t>
      </w:r>
      <w:r w:rsidRPr="009A35B5">
        <w:rPr>
          <w:rFonts w:ascii="Arial" w:hAnsi="Arial" w:cs="Arial"/>
        </w:rPr>
        <w:t xml:space="preserve"> fibreglass application and release agents. </w:t>
      </w:r>
    </w:p>
    <w:p w:rsidR="009A35B5" w:rsidRPr="009A35B5" w:rsidRDefault="009A35B5" w:rsidP="0080582B">
      <w:pPr>
        <w:pStyle w:val="ListParagraph"/>
        <w:numPr>
          <w:ilvl w:val="0"/>
          <w:numId w:val="2"/>
        </w:numPr>
        <w:tabs>
          <w:tab w:val="num" w:pos="567"/>
        </w:tabs>
        <w:spacing w:after="240" w:line="360" w:lineRule="auto"/>
        <w:ind w:left="0" w:firstLine="0"/>
        <w:jc w:val="both"/>
        <w:rPr>
          <w:rFonts w:ascii="Arial" w:hAnsi="Arial" w:cs="Arial"/>
        </w:rPr>
      </w:pPr>
      <w:r>
        <w:rPr>
          <w:rFonts w:ascii="Arial" w:hAnsi="Arial" w:cs="Arial"/>
        </w:rPr>
        <w:t>T</w:t>
      </w:r>
      <w:r w:rsidRPr="009A35B5">
        <w:rPr>
          <w:rFonts w:ascii="Arial" w:hAnsi="Arial" w:cs="Arial"/>
        </w:rPr>
        <w:t xml:space="preserve">he target firm </w:t>
      </w:r>
      <w:r>
        <w:rPr>
          <w:rFonts w:ascii="Arial" w:hAnsi="Arial" w:cs="Arial"/>
        </w:rPr>
        <w:t xml:space="preserve">is </w:t>
      </w:r>
      <w:r w:rsidRPr="00691ACF">
        <w:rPr>
          <w:rFonts w:ascii="Arial" w:hAnsi="Arial" w:cs="Arial"/>
        </w:rPr>
        <w:t xml:space="preserve">Arkema </w:t>
      </w:r>
      <w:r>
        <w:rPr>
          <w:rFonts w:ascii="Arial" w:hAnsi="Arial" w:cs="Arial"/>
        </w:rPr>
        <w:t>SA</w:t>
      </w:r>
      <w:r w:rsidRPr="009A35B5">
        <w:rPr>
          <w:rFonts w:ascii="Arial" w:hAnsi="Arial" w:cs="Arial"/>
        </w:rPr>
        <w:t xml:space="preserve">. Arkema </w:t>
      </w:r>
      <w:r w:rsidR="00EF1473">
        <w:rPr>
          <w:rFonts w:ascii="Arial" w:hAnsi="Arial" w:cs="Arial"/>
        </w:rPr>
        <w:t xml:space="preserve">SA </w:t>
      </w:r>
      <w:r w:rsidRPr="009A35B5">
        <w:rPr>
          <w:rFonts w:ascii="Arial" w:hAnsi="Arial" w:cs="Arial"/>
        </w:rPr>
        <w:t>is a wholly</w:t>
      </w:r>
      <w:r w:rsidR="00FD38CA">
        <w:rPr>
          <w:rFonts w:ascii="Arial" w:hAnsi="Arial" w:cs="Arial"/>
        </w:rPr>
        <w:t>-</w:t>
      </w:r>
      <w:r w:rsidRPr="009A35B5">
        <w:rPr>
          <w:rFonts w:ascii="Arial" w:hAnsi="Arial" w:cs="Arial"/>
        </w:rPr>
        <w:t>owned subsidiary of Arkema Afrique SAS</w:t>
      </w:r>
      <w:r>
        <w:rPr>
          <w:rStyle w:val="FootnoteReference"/>
          <w:rFonts w:ascii="Arial" w:hAnsi="Arial" w:cs="Arial"/>
        </w:rPr>
        <w:footnoteReference w:id="2"/>
      </w:r>
      <w:r w:rsidRPr="009A35B5">
        <w:rPr>
          <w:rFonts w:ascii="Arial" w:hAnsi="Arial" w:cs="Arial"/>
        </w:rPr>
        <w:t xml:space="preserve">, which is in turn wholly-owned by Arkema, a French company listed on the Paris Stock Exchange. Arkema is the parent company of the Arkema Group of Companies (“Arkema Group”). Arkema SA owns 100% of </w:t>
      </w:r>
      <w:r w:rsidR="007F3720" w:rsidRPr="00691ACF">
        <w:rPr>
          <w:rFonts w:ascii="Arial" w:hAnsi="Arial" w:cs="Arial"/>
        </w:rPr>
        <w:t xml:space="preserve">Harveys Composites (Pty) Ltd </w:t>
      </w:r>
      <w:r w:rsidR="007F3720">
        <w:rPr>
          <w:rFonts w:ascii="Arial" w:hAnsi="Arial" w:cs="Arial"/>
        </w:rPr>
        <w:t>(“</w:t>
      </w:r>
      <w:r w:rsidRPr="009A35B5">
        <w:rPr>
          <w:rFonts w:ascii="Arial" w:hAnsi="Arial" w:cs="Arial"/>
        </w:rPr>
        <w:t>Harveys</w:t>
      </w:r>
      <w:r w:rsidR="007F3720">
        <w:rPr>
          <w:rFonts w:ascii="Arial" w:hAnsi="Arial" w:cs="Arial"/>
        </w:rPr>
        <w:t>”)</w:t>
      </w:r>
      <w:r w:rsidRPr="009A35B5">
        <w:rPr>
          <w:rFonts w:ascii="Arial" w:hAnsi="Arial" w:cs="Arial"/>
        </w:rPr>
        <w:t>.</w:t>
      </w:r>
    </w:p>
    <w:p w:rsidR="0079081A" w:rsidRPr="0079081A" w:rsidRDefault="009A35B5" w:rsidP="0080582B">
      <w:pPr>
        <w:pStyle w:val="ListParagraph"/>
        <w:numPr>
          <w:ilvl w:val="0"/>
          <w:numId w:val="2"/>
        </w:numPr>
        <w:spacing w:after="240" w:line="360" w:lineRule="auto"/>
        <w:ind w:left="0" w:firstLine="0"/>
        <w:jc w:val="both"/>
        <w:rPr>
          <w:rFonts w:ascii="Arial" w:hAnsi="Arial" w:cs="Arial"/>
        </w:rPr>
      </w:pPr>
      <w:r w:rsidRPr="0079081A">
        <w:rPr>
          <w:rFonts w:ascii="Arial" w:hAnsi="Arial" w:cs="Arial"/>
        </w:rPr>
        <w:t>Arkema SA is active in the manufactur</w:t>
      </w:r>
      <w:r w:rsidR="00C95B3C">
        <w:rPr>
          <w:rFonts w:ascii="Arial" w:hAnsi="Arial" w:cs="Arial"/>
        </w:rPr>
        <w:t>e</w:t>
      </w:r>
      <w:r w:rsidRPr="0079081A">
        <w:rPr>
          <w:rFonts w:ascii="Arial" w:hAnsi="Arial" w:cs="Arial"/>
        </w:rPr>
        <w:t xml:space="preserve"> and supply</w:t>
      </w:r>
      <w:r w:rsidR="00C95B3C">
        <w:rPr>
          <w:rFonts w:ascii="Arial" w:hAnsi="Arial" w:cs="Arial"/>
        </w:rPr>
        <w:t xml:space="preserve"> of</w:t>
      </w:r>
      <w:r w:rsidRPr="0079081A">
        <w:rPr>
          <w:rFonts w:ascii="Arial" w:hAnsi="Arial" w:cs="Arial"/>
        </w:rPr>
        <w:t xml:space="preserve"> coatings resins an</w:t>
      </w:r>
      <w:r w:rsidR="0079081A" w:rsidRPr="0079081A">
        <w:rPr>
          <w:rFonts w:ascii="Arial" w:hAnsi="Arial" w:cs="Arial"/>
        </w:rPr>
        <w:t>d</w:t>
      </w:r>
      <w:r w:rsidR="00C95B3C" w:rsidRPr="00C95B3C">
        <w:rPr>
          <w:rFonts w:ascii="Arial" w:hAnsi="Arial" w:cs="Arial"/>
        </w:rPr>
        <w:t xml:space="preserve"> </w:t>
      </w:r>
      <w:r w:rsidR="002E7B9B">
        <w:rPr>
          <w:rFonts w:ascii="Arial" w:hAnsi="Arial" w:cs="Arial"/>
        </w:rPr>
        <w:t xml:space="preserve">composite resins, specifically </w:t>
      </w:r>
      <w:r w:rsidR="00E62A91">
        <w:rPr>
          <w:rFonts w:ascii="Arial" w:hAnsi="Arial" w:cs="Arial"/>
        </w:rPr>
        <w:t>UPRs</w:t>
      </w:r>
      <w:r w:rsidR="00FD38CA">
        <w:rPr>
          <w:rFonts w:ascii="Arial" w:hAnsi="Arial" w:cs="Arial"/>
        </w:rPr>
        <w:t xml:space="preserve"> (</w:t>
      </w:r>
      <w:r w:rsidRPr="0079081A">
        <w:rPr>
          <w:rFonts w:ascii="Arial" w:hAnsi="Arial" w:cs="Arial"/>
        </w:rPr>
        <w:t>including gel coats</w:t>
      </w:r>
      <w:r w:rsidR="00FD38CA">
        <w:rPr>
          <w:rFonts w:ascii="Arial" w:hAnsi="Arial" w:cs="Arial"/>
        </w:rPr>
        <w:t>)</w:t>
      </w:r>
      <w:r w:rsidRPr="0079081A">
        <w:rPr>
          <w:rFonts w:ascii="Arial" w:hAnsi="Arial" w:cs="Arial"/>
        </w:rPr>
        <w:t xml:space="preserve">. It operates </w:t>
      </w:r>
      <w:r w:rsidR="002E7B9B">
        <w:rPr>
          <w:rFonts w:ascii="Arial" w:hAnsi="Arial" w:cs="Arial"/>
        </w:rPr>
        <w:t>an integrated</w:t>
      </w:r>
      <w:r w:rsidR="00C95B3C">
        <w:rPr>
          <w:rFonts w:ascii="Arial" w:hAnsi="Arial" w:cs="Arial"/>
        </w:rPr>
        <w:t xml:space="preserve"> production </w:t>
      </w:r>
      <w:r w:rsidRPr="0079081A">
        <w:rPr>
          <w:rFonts w:ascii="Arial" w:hAnsi="Arial" w:cs="Arial"/>
        </w:rPr>
        <w:t xml:space="preserve">plant in South Africa </w:t>
      </w:r>
      <w:r w:rsidR="003916D3">
        <w:rPr>
          <w:rFonts w:ascii="Arial" w:hAnsi="Arial" w:cs="Arial"/>
        </w:rPr>
        <w:t>at</w:t>
      </w:r>
      <w:r w:rsidRPr="0079081A">
        <w:rPr>
          <w:rFonts w:ascii="Arial" w:hAnsi="Arial" w:cs="Arial"/>
        </w:rPr>
        <w:t xml:space="preserve"> Isipingo, KwaZulu-Natal</w:t>
      </w:r>
      <w:r w:rsidR="002E7B9B">
        <w:rPr>
          <w:rFonts w:ascii="Arial" w:hAnsi="Arial" w:cs="Arial"/>
        </w:rPr>
        <w:t xml:space="preserve"> which manufactures both coatings </w:t>
      </w:r>
      <w:r w:rsidR="003B6F2F">
        <w:rPr>
          <w:rFonts w:ascii="Arial" w:hAnsi="Arial" w:cs="Arial"/>
        </w:rPr>
        <w:t xml:space="preserve">resins </w:t>
      </w:r>
      <w:r w:rsidR="002E7B9B">
        <w:rPr>
          <w:rFonts w:ascii="Arial" w:hAnsi="Arial" w:cs="Arial"/>
        </w:rPr>
        <w:t>and composite</w:t>
      </w:r>
      <w:r w:rsidR="003B6F2F">
        <w:rPr>
          <w:rFonts w:ascii="Arial" w:hAnsi="Arial" w:cs="Arial"/>
        </w:rPr>
        <w:t xml:space="preserve"> resins</w:t>
      </w:r>
      <w:r w:rsidRPr="0079081A">
        <w:rPr>
          <w:rFonts w:ascii="Arial" w:hAnsi="Arial" w:cs="Arial"/>
        </w:rPr>
        <w:t xml:space="preserve">. </w:t>
      </w:r>
      <w:r w:rsidR="00E62A91">
        <w:rPr>
          <w:rFonts w:ascii="Arial" w:hAnsi="Arial" w:cs="Arial"/>
        </w:rPr>
        <w:t>T</w:t>
      </w:r>
      <w:r w:rsidR="00E62A91" w:rsidRPr="0079081A">
        <w:rPr>
          <w:rFonts w:ascii="Arial" w:hAnsi="Arial" w:cs="Arial"/>
        </w:rPr>
        <w:t>hrough Harveys</w:t>
      </w:r>
      <w:r w:rsidR="00E62A91">
        <w:rPr>
          <w:rFonts w:ascii="Arial" w:hAnsi="Arial" w:cs="Arial"/>
        </w:rPr>
        <w:t>,</w:t>
      </w:r>
      <w:r w:rsidR="00E62A91" w:rsidRPr="0079081A">
        <w:rPr>
          <w:rFonts w:ascii="Arial" w:hAnsi="Arial" w:cs="Arial"/>
        </w:rPr>
        <w:t xml:space="preserve"> </w:t>
      </w:r>
      <w:r w:rsidR="00C95B3C" w:rsidRPr="0079081A">
        <w:rPr>
          <w:rFonts w:ascii="Arial" w:hAnsi="Arial" w:cs="Arial"/>
        </w:rPr>
        <w:t xml:space="preserve">Arkema SA </w:t>
      </w:r>
      <w:r w:rsidR="0079081A" w:rsidRPr="0079081A">
        <w:rPr>
          <w:rFonts w:ascii="Arial" w:hAnsi="Arial" w:cs="Arial"/>
        </w:rPr>
        <w:t>distributes equipment, raw materials, accessories and ancillar</w:t>
      </w:r>
      <w:r w:rsidR="0079081A">
        <w:rPr>
          <w:rFonts w:ascii="Arial" w:hAnsi="Arial" w:cs="Arial"/>
        </w:rPr>
        <w:t>y products</w:t>
      </w:r>
      <w:r w:rsidR="0079081A" w:rsidRPr="0079081A">
        <w:rPr>
          <w:rFonts w:ascii="Arial" w:hAnsi="Arial" w:cs="Arial"/>
        </w:rPr>
        <w:t xml:space="preserve"> to </w:t>
      </w:r>
      <w:r w:rsidR="00C95B3C">
        <w:rPr>
          <w:rFonts w:ascii="Arial" w:hAnsi="Arial" w:cs="Arial"/>
        </w:rPr>
        <w:t xml:space="preserve">its </w:t>
      </w:r>
      <w:r w:rsidR="0079081A" w:rsidRPr="0079081A">
        <w:rPr>
          <w:rFonts w:ascii="Arial" w:hAnsi="Arial" w:cs="Arial"/>
        </w:rPr>
        <w:t>composite customers.</w:t>
      </w:r>
    </w:p>
    <w:p w:rsidR="008C4FD6" w:rsidRPr="00C95B3C" w:rsidRDefault="00E53E90" w:rsidP="0080582B">
      <w:pPr>
        <w:pStyle w:val="ListParagraph"/>
        <w:numPr>
          <w:ilvl w:val="0"/>
          <w:numId w:val="2"/>
        </w:numPr>
        <w:tabs>
          <w:tab w:val="num" w:pos="567"/>
        </w:tabs>
        <w:spacing w:after="240" w:line="360" w:lineRule="auto"/>
        <w:ind w:left="0" w:firstLine="0"/>
        <w:jc w:val="both"/>
        <w:rPr>
          <w:rFonts w:ascii="Arial" w:hAnsi="Arial" w:cs="Arial"/>
        </w:rPr>
      </w:pPr>
      <w:r w:rsidRPr="00C95B3C">
        <w:rPr>
          <w:rFonts w:ascii="Arial" w:hAnsi="Arial" w:cs="Arial"/>
        </w:rPr>
        <w:t>We note that neither Ferro nor NCS currently manufactures or suppl</w:t>
      </w:r>
      <w:r w:rsidR="00C95B3C" w:rsidRPr="00C95B3C">
        <w:rPr>
          <w:rFonts w:ascii="Arial" w:hAnsi="Arial" w:cs="Arial"/>
        </w:rPr>
        <w:t>ies</w:t>
      </w:r>
      <w:r w:rsidRPr="00C95B3C">
        <w:rPr>
          <w:rFonts w:ascii="Arial" w:hAnsi="Arial" w:cs="Arial"/>
        </w:rPr>
        <w:t xml:space="preserve"> coatings resin.</w:t>
      </w:r>
      <w:r w:rsidR="00C95B3C" w:rsidRPr="00C95B3C">
        <w:rPr>
          <w:rFonts w:ascii="Arial" w:hAnsi="Arial" w:cs="Arial"/>
        </w:rPr>
        <w:t xml:space="preserve"> </w:t>
      </w:r>
      <w:r w:rsidR="001B2011" w:rsidRPr="00C95B3C">
        <w:rPr>
          <w:rFonts w:ascii="Arial" w:hAnsi="Arial" w:cs="Arial"/>
        </w:rPr>
        <w:t xml:space="preserve">The </w:t>
      </w:r>
      <w:r w:rsidR="008D30AF">
        <w:rPr>
          <w:rFonts w:ascii="Arial" w:hAnsi="Arial" w:cs="Arial"/>
        </w:rPr>
        <w:t>horizontal ov</w:t>
      </w:r>
      <w:r w:rsidR="001B2011" w:rsidRPr="00C95B3C">
        <w:rPr>
          <w:rFonts w:ascii="Arial" w:hAnsi="Arial" w:cs="Arial"/>
        </w:rPr>
        <w:t xml:space="preserve">erlap between the activities of </w:t>
      </w:r>
      <w:r w:rsidR="00C95B3C" w:rsidRPr="00C95B3C">
        <w:rPr>
          <w:rFonts w:ascii="Arial" w:hAnsi="Arial" w:cs="Arial"/>
        </w:rPr>
        <w:t xml:space="preserve">Ferro and </w:t>
      </w:r>
      <w:r w:rsidR="001B2011" w:rsidRPr="00C95B3C">
        <w:rPr>
          <w:rFonts w:ascii="Arial" w:hAnsi="Arial" w:cs="Arial"/>
        </w:rPr>
        <w:t xml:space="preserve">Arkema SA </w:t>
      </w:r>
      <w:r w:rsidR="00E62A91">
        <w:rPr>
          <w:rFonts w:ascii="Arial" w:hAnsi="Arial" w:cs="Arial"/>
        </w:rPr>
        <w:t xml:space="preserve">thus </w:t>
      </w:r>
      <w:r w:rsidR="001B2011" w:rsidRPr="00C95B3C">
        <w:rPr>
          <w:rFonts w:ascii="Arial" w:hAnsi="Arial" w:cs="Arial"/>
        </w:rPr>
        <w:t>relate</w:t>
      </w:r>
      <w:r w:rsidR="008D30AF">
        <w:rPr>
          <w:rFonts w:ascii="Arial" w:hAnsi="Arial" w:cs="Arial"/>
        </w:rPr>
        <w:t>s</w:t>
      </w:r>
      <w:r w:rsidR="001B2011" w:rsidRPr="00C95B3C">
        <w:rPr>
          <w:rFonts w:ascii="Arial" w:hAnsi="Arial" w:cs="Arial"/>
        </w:rPr>
        <w:t xml:space="preserve"> </w:t>
      </w:r>
      <w:r w:rsidR="007772DA" w:rsidRPr="00C95B3C">
        <w:rPr>
          <w:rFonts w:ascii="Arial" w:hAnsi="Arial" w:cs="Arial"/>
        </w:rPr>
        <w:t xml:space="preserve">only </w:t>
      </w:r>
      <w:r w:rsidR="001B2011" w:rsidRPr="00C95B3C">
        <w:rPr>
          <w:rFonts w:ascii="Arial" w:hAnsi="Arial" w:cs="Arial"/>
        </w:rPr>
        <w:t xml:space="preserve">to </w:t>
      </w:r>
      <w:r w:rsidR="008C4FD6" w:rsidRPr="00C95B3C">
        <w:rPr>
          <w:rFonts w:ascii="Arial" w:hAnsi="Arial" w:cs="Arial"/>
        </w:rPr>
        <w:t xml:space="preserve">thermoset </w:t>
      </w:r>
      <w:r w:rsidR="001B2011" w:rsidRPr="00C95B3C">
        <w:rPr>
          <w:rFonts w:ascii="Arial" w:hAnsi="Arial" w:cs="Arial"/>
        </w:rPr>
        <w:t>composite resins</w:t>
      </w:r>
      <w:r w:rsidR="008C4FD6" w:rsidRPr="00C95B3C">
        <w:rPr>
          <w:rFonts w:ascii="Arial" w:hAnsi="Arial" w:cs="Arial"/>
        </w:rPr>
        <w:t>, also known as UPR</w:t>
      </w:r>
      <w:r w:rsidR="00E62A91">
        <w:rPr>
          <w:rFonts w:ascii="Arial" w:hAnsi="Arial" w:cs="Arial"/>
        </w:rPr>
        <w:t>s</w:t>
      </w:r>
      <w:r w:rsidR="008C4FD6" w:rsidRPr="00C95B3C">
        <w:rPr>
          <w:rFonts w:ascii="Arial" w:hAnsi="Arial" w:cs="Arial"/>
        </w:rPr>
        <w:t>.</w:t>
      </w:r>
    </w:p>
    <w:p w:rsidR="008A4FB3" w:rsidRDefault="008A4FB3" w:rsidP="00C95B3C">
      <w:pPr>
        <w:pStyle w:val="ListParagraph"/>
        <w:spacing w:after="240" w:line="360" w:lineRule="auto"/>
        <w:ind w:left="0"/>
        <w:jc w:val="both"/>
        <w:rPr>
          <w:rFonts w:ascii="Arial" w:hAnsi="Arial" w:cs="Arial"/>
          <w:b/>
        </w:rPr>
      </w:pPr>
    </w:p>
    <w:p w:rsidR="00C95B3C" w:rsidRPr="00691ACF" w:rsidRDefault="00C95B3C" w:rsidP="00C95B3C">
      <w:pPr>
        <w:pStyle w:val="ListParagraph"/>
        <w:spacing w:after="240" w:line="360" w:lineRule="auto"/>
        <w:ind w:left="0"/>
        <w:jc w:val="both"/>
        <w:rPr>
          <w:rFonts w:ascii="Arial" w:hAnsi="Arial" w:cs="Arial"/>
          <w:b/>
        </w:rPr>
      </w:pPr>
      <w:r w:rsidRPr="00691ACF">
        <w:rPr>
          <w:rFonts w:ascii="Arial" w:hAnsi="Arial" w:cs="Arial"/>
          <w:b/>
        </w:rPr>
        <w:lastRenderedPageBreak/>
        <w:t>Proposed transaction</w:t>
      </w:r>
      <w:r>
        <w:rPr>
          <w:rFonts w:ascii="Arial" w:hAnsi="Arial" w:cs="Arial"/>
          <w:b/>
        </w:rPr>
        <w:t xml:space="preserve"> and rationale</w:t>
      </w:r>
    </w:p>
    <w:p w:rsidR="00C95B3C" w:rsidRPr="00691ACF" w:rsidRDefault="00C95B3C" w:rsidP="0080582B">
      <w:pPr>
        <w:pStyle w:val="ListParagraph"/>
        <w:numPr>
          <w:ilvl w:val="0"/>
          <w:numId w:val="2"/>
        </w:numPr>
        <w:spacing w:after="240" w:line="360" w:lineRule="auto"/>
        <w:ind w:left="0" w:firstLine="0"/>
        <w:jc w:val="both"/>
        <w:rPr>
          <w:rFonts w:ascii="Arial" w:hAnsi="Arial" w:cs="Arial"/>
        </w:rPr>
      </w:pPr>
      <w:r w:rsidRPr="00691ACF">
        <w:rPr>
          <w:rFonts w:ascii="Arial" w:hAnsi="Arial" w:cs="Arial"/>
        </w:rPr>
        <w:t xml:space="preserve">Ferro </w:t>
      </w:r>
      <w:r>
        <w:rPr>
          <w:rFonts w:ascii="Arial" w:hAnsi="Arial" w:cs="Arial"/>
        </w:rPr>
        <w:t xml:space="preserve">intends to acquire </w:t>
      </w:r>
      <w:r w:rsidRPr="00691ACF">
        <w:rPr>
          <w:rFonts w:ascii="Arial" w:hAnsi="Arial" w:cs="Arial"/>
        </w:rPr>
        <w:t>the entire issued share capital of Arkema SA and its wholly-owned subsidiary Harveys</w:t>
      </w:r>
      <w:r w:rsidR="009F6406">
        <w:rPr>
          <w:rFonts w:ascii="Arial" w:hAnsi="Arial" w:cs="Arial"/>
        </w:rPr>
        <w:t xml:space="preserve"> </w:t>
      </w:r>
      <w:r w:rsidRPr="00691ACF">
        <w:rPr>
          <w:rFonts w:ascii="Arial" w:hAnsi="Arial" w:cs="Arial"/>
        </w:rPr>
        <w:t>from Arkema Afrique SAS.</w:t>
      </w:r>
    </w:p>
    <w:p w:rsidR="00C95B3C" w:rsidRPr="00F145D1" w:rsidRDefault="00C95B3C" w:rsidP="0080582B">
      <w:pPr>
        <w:pStyle w:val="ListParagraph"/>
        <w:numPr>
          <w:ilvl w:val="0"/>
          <w:numId w:val="2"/>
        </w:numPr>
        <w:tabs>
          <w:tab w:val="num" w:pos="567"/>
        </w:tabs>
        <w:spacing w:after="240" w:line="360" w:lineRule="auto"/>
        <w:ind w:left="0" w:firstLine="0"/>
        <w:jc w:val="both"/>
        <w:rPr>
          <w:rFonts w:ascii="Arial" w:hAnsi="Arial" w:cs="Arial"/>
        </w:rPr>
      </w:pPr>
      <w:r w:rsidRPr="00F145D1">
        <w:rPr>
          <w:rFonts w:ascii="Arial" w:hAnsi="Arial" w:cs="Arial"/>
        </w:rPr>
        <w:t>Ferro</w:t>
      </w:r>
      <w:r>
        <w:rPr>
          <w:rFonts w:ascii="Arial" w:hAnsi="Arial" w:cs="Arial"/>
        </w:rPr>
        <w:t xml:space="preserve"> stated that its</w:t>
      </w:r>
      <w:r w:rsidRPr="00F145D1">
        <w:rPr>
          <w:rFonts w:ascii="Arial" w:hAnsi="Arial" w:cs="Arial"/>
        </w:rPr>
        <w:t xml:space="preserve"> primary rationale for the </w:t>
      </w:r>
      <w:r>
        <w:rPr>
          <w:rFonts w:ascii="Arial" w:hAnsi="Arial" w:cs="Arial"/>
        </w:rPr>
        <w:t xml:space="preserve">proposed </w:t>
      </w:r>
      <w:r w:rsidRPr="00F145D1">
        <w:rPr>
          <w:rFonts w:ascii="Arial" w:hAnsi="Arial" w:cs="Arial"/>
        </w:rPr>
        <w:t xml:space="preserve">transaction is that </w:t>
      </w:r>
      <w:r>
        <w:rPr>
          <w:rFonts w:ascii="Arial" w:hAnsi="Arial" w:cs="Arial"/>
        </w:rPr>
        <w:t xml:space="preserve">it </w:t>
      </w:r>
      <w:r w:rsidR="009F6406">
        <w:rPr>
          <w:rFonts w:ascii="Arial" w:hAnsi="Arial" w:cs="Arial"/>
        </w:rPr>
        <w:t xml:space="preserve">would </w:t>
      </w:r>
      <w:r w:rsidRPr="00F145D1">
        <w:rPr>
          <w:rFonts w:ascii="Arial" w:hAnsi="Arial" w:cs="Arial"/>
        </w:rPr>
        <w:t xml:space="preserve">enable it to expand and enhance its product range by </w:t>
      </w:r>
      <w:r w:rsidR="007A3993">
        <w:rPr>
          <w:rFonts w:ascii="Arial" w:hAnsi="Arial" w:cs="Arial"/>
        </w:rPr>
        <w:t>entering</w:t>
      </w:r>
      <w:r w:rsidR="007A3993" w:rsidRPr="00F145D1">
        <w:rPr>
          <w:rFonts w:ascii="Arial" w:hAnsi="Arial" w:cs="Arial"/>
        </w:rPr>
        <w:t xml:space="preserve"> </w:t>
      </w:r>
      <w:r w:rsidRPr="00F145D1">
        <w:rPr>
          <w:rFonts w:ascii="Arial" w:hAnsi="Arial" w:cs="Arial"/>
        </w:rPr>
        <w:t xml:space="preserve">into the manufacture and supply of coatings resin. </w:t>
      </w:r>
      <w:r>
        <w:rPr>
          <w:rFonts w:ascii="Arial" w:hAnsi="Arial" w:cs="Arial"/>
        </w:rPr>
        <w:t>T</w:t>
      </w:r>
      <w:r w:rsidRPr="00F145D1">
        <w:rPr>
          <w:rFonts w:ascii="Arial" w:hAnsi="Arial" w:cs="Arial"/>
        </w:rPr>
        <w:t xml:space="preserve">he proposed transaction will </w:t>
      </w:r>
      <w:r w:rsidR="009F6406">
        <w:rPr>
          <w:rFonts w:ascii="Arial" w:hAnsi="Arial" w:cs="Arial"/>
        </w:rPr>
        <w:t xml:space="preserve">provide </w:t>
      </w:r>
      <w:r w:rsidRPr="00F145D1">
        <w:rPr>
          <w:rFonts w:ascii="Arial" w:hAnsi="Arial" w:cs="Arial"/>
        </w:rPr>
        <w:t xml:space="preserve">Ferro </w:t>
      </w:r>
      <w:r w:rsidR="009F6406">
        <w:rPr>
          <w:rFonts w:ascii="Arial" w:hAnsi="Arial" w:cs="Arial"/>
        </w:rPr>
        <w:t xml:space="preserve">with </w:t>
      </w:r>
      <w:r w:rsidRPr="00F145D1">
        <w:rPr>
          <w:rFonts w:ascii="Arial" w:hAnsi="Arial" w:cs="Arial"/>
        </w:rPr>
        <w:t>access to world class coatings based resin technology</w:t>
      </w:r>
      <w:r w:rsidR="007772DA">
        <w:rPr>
          <w:rFonts w:ascii="Arial" w:hAnsi="Arial" w:cs="Arial"/>
        </w:rPr>
        <w:t>,</w:t>
      </w:r>
      <w:r w:rsidRPr="00F145D1">
        <w:rPr>
          <w:rFonts w:ascii="Arial" w:hAnsi="Arial" w:cs="Arial"/>
        </w:rPr>
        <w:t xml:space="preserve"> </w:t>
      </w:r>
      <w:r w:rsidR="009F6406">
        <w:rPr>
          <w:rFonts w:ascii="Arial" w:hAnsi="Arial" w:cs="Arial"/>
        </w:rPr>
        <w:t xml:space="preserve">as well as </w:t>
      </w:r>
      <w:r>
        <w:rPr>
          <w:rFonts w:ascii="Arial" w:hAnsi="Arial" w:cs="Arial"/>
        </w:rPr>
        <w:t xml:space="preserve">a </w:t>
      </w:r>
      <w:r w:rsidRPr="00F145D1">
        <w:rPr>
          <w:rFonts w:ascii="Arial" w:hAnsi="Arial" w:cs="Arial"/>
        </w:rPr>
        <w:t>global brand.</w:t>
      </w:r>
    </w:p>
    <w:p w:rsidR="00C95B3C" w:rsidRDefault="001F16B3" w:rsidP="0080582B">
      <w:pPr>
        <w:pStyle w:val="ListParagraph"/>
        <w:numPr>
          <w:ilvl w:val="0"/>
          <w:numId w:val="2"/>
        </w:numPr>
        <w:spacing w:after="240" w:line="360" w:lineRule="auto"/>
        <w:ind w:left="0" w:firstLine="0"/>
        <w:jc w:val="both"/>
        <w:rPr>
          <w:rFonts w:ascii="Arial" w:hAnsi="Arial" w:cs="Arial"/>
        </w:rPr>
      </w:pPr>
      <w:r w:rsidRPr="00885DDA">
        <w:rPr>
          <w:rFonts w:ascii="Arial" w:hAnsi="Arial" w:cs="Arial"/>
        </w:rPr>
        <w:t xml:space="preserve">Arkema indicated that UPR production does not represent a strategic fit for </w:t>
      </w:r>
      <w:r w:rsidR="007772DA">
        <w:rPr>
          <w:rFonts w:ascii="Arial" w:hAnsi="Arial" w:cs="Arial"/>
        </w:rPr>
        <w:t xml:space="preserve">the </w:t>
      </w:r>
      <w:r w:rsidRPr="00885DDA">
        <w:rPr>
          <w:rFonts w:ascii="Arial" w:hAnsi="Arial" w:cs="Arial"/>
        </w:rPr>
        <w:t>Arkema</w:t>
      </w:r>
      <w:r w:rsidR="007772DA">
        <w:rPr>
          <w:rFonts w:ascii="Arial" w:hAnsi="Arial" w:cs="Arial"/>
        </w:rPr>
        <w:t xml:space="preserve"> Group</w:t>
      </w:r>
      <w:r w:rsidRPr="00885DDA">
        <w:rPr>
          <w:rFonts w:ascii="Arial" w:hAnsi="Arial" w:cs="Arial"/>
        </w:rPr>
        <w:t>.</w:t>
      </w:r>
      <w:r>
        <w:rPr>
          <w:rStyle w:val="FootnoteReference"/>
          <w:rFonts w:ascii="Arial" w:hAnsi="Arial" w:cs="Arial"/>
        </w:rPr>
        <w:footnoteReference w:id="3"/>
      </w:r>
      <w:r w:rsidRPr="00885DDA">
        <w:rPr>
          <w:rFonts w:ascii="Arial" w:hAnsi="Arial" w:cs="Arial"/>
        </w:rPr>
        <w:t xml:space="preserve"> The composites business in South Africa is the only such business that the Arkema Group has in the world and is accordingly a complete anomaly within its business portfolio.</w:t>
      </w:r>
      <w:r>
        <w:rPr>
          <w:rStyle w:val="FootnoteReference"/>
          <w:rFonts w:ascii="Arial" w:hAnsi="Arial" w:cs="Arial"/>
        </w:rPr>
        <w:footnoteReference w:id="4"/>
      </w:r>
      <w:r>
        <w:rPr>
          <w:rFonts w:ascii="Arial" w:hAnsi="Arial" w:cs="Arial"/>
        </w:rPr>
        <w:t xml:space="preserve"> </w:t>
      </w:r>
      <w:r w:rsidR="00C95B3C" w:rsidRPr="00885DDA">
        <w:rPr>
          <w:rFonts w:ascii="Arial" w:hAnsi="Arial" w:cs="Arial"/>
        </w:rPr>
        <w:t xml:space="preserve">Arkema </w:t>
      </w:r>
      <w:r>
        <w:rPr>
          <w:rFonts w:ascii="Arial" w:hAnsi="Arial" w:cs="Arial"/>
        </w:rPr>
        <w:t xml:space="preserve">further </w:t>
      </w:r>
      <w:r w:rsidR="00C95B3C" w:rsidRPr="00885DDA">
        <w:rPr>
          <w:rFonts w:ascii="Arial" w:hAnsi="Arial" w:cs="Arial"/>
        </w:rPr>
        <w:t xml:space="preserve">submitted that its rationale for the transaction is to dispose of its underperforming business in South Africa and exit the manufacture of composite resins. Arkema’s core area of operations globally is in coatings </w:t>
      </w:r>
      <w:r w:rsidR="007A5199">
        <w:rPr>
          <w:rFonts w:ascii="Arial" w:hAnsi="Arial" w:cs="Arial"/>
        </w:rPr>
        <w:t>resin</w:t>
      </w:r>
      <w:r w:rsidR="00C95B3C" w:rsidRPr="00885DDA">
        <w:rPr>
          <w:rFonts w:ascii="Arial" w:hAnsi="Arial" w:cs="Arial"/>
        </w:rPr>
        <w:t xml:space="preserve"> and in South Africa both its coatings and composites divisions have not operated satisfactorily</w:t>
      </w:r>
      <w:r w:rsidR="00085E55">
        <w:rPr>
          <w:rFonts w:ascii="Arial" w:hAnsi="Arial" w:cs="Arial"/>
        </w:rPr>
        <w:t xml:space="preserve"> for a number of years</w:t>
      </w:r>
      <w:r w:rsidR="00C95B3C" w:rsidRPr="00885DDA">
        <w:rPr>
          <w:rFonts w:ascii="Arial" w:hAnsi="Arial" w:cs="Arial"/>
        </w:rPr>
        <w:t xml:space="preserve">. </w:t>
      </w:r>
    </w:p>
    <w:p w:rsidR="009F6406" w:rsidRDefault="009F6406" w:rsidP="009F6406">
      <w:pPr>
        <w:pStyle w:val="ListParagraph"/>
        <w:spacing w:after="240" w:line="360" w:lineRule="auto"/>
        <w:ind w:left="0"/>
        <w:jc w:val="both"/>
        <w:rPr>
          <w:rFonts w:ascii="Arial" w:hAnsi="Arial" w:cs="Arial"/>
          <w:b/>
        </w:rPr>
      </w:pPr>
      <w:r w:rsidRPr="009F6406">
        <w:rPr>
          <w:rFonts w:ascii="Arial" w:hAnsi="Arial" w:cs="Arial"/>
          <w:b/>
        </w:rPr>
        <w:t>Background</w:t>
      </w:r>
    </w:p>
    <w:p w:rsidR="008A4FB3" w:rsidRPr="00C55A00" w:rsidRDefault="00C55A00" w:rsidP="008A4FB3">
      <w:pPr>
        <w:pStyle w:val="ListParagraph"/>
        <w:spacing w:after="240" w:line="360" w:lineRule="auto"/>
        <w:ind w:left="0"/>
        <w:jc w:val="both"/>
        <w:rPr>
          <w:rFonts w:ascii="Arial" w:hAnsi="Arial" w:cs="Arial"/>
          <w:b/>
          <w:i/>
        </w:rPr>
      </w:pPr>
      <w:r w:rsidRPr="00C55A00">
        <w:rPr>
          <w:rFonts w:ascii="Arial" w:hAnsi="Arial" w:cs="Arial"/>
          <w:b/>
          <w:i/>
        </w:rPr>
        <w:t>Referral</w:t>
      </w:r>
      <w:r w:rsidR="008A4FB3" w:rsidRPr="008A4FB3">
        <w:rPr>
          <w:rFonts w:ascii="Arial" w:hAnsi="Arial" w:cs="Arial"/>
          <w:b/>
          <w:i/>
        </w:rPr>
        <w:t xml:space="preserve"> </w:t>
      </w:r>
      <w:r w:rsidR="008A4FB3">
        <w:rPr>
          <w:rFonts w:ascii="Arial" w:hAnsi="Arial" w:cs="Arial"/>
          <w:b/>
          <w:i/>
        </w:rPr>
        <w:t>and te</w:t>
      </w:r>
      <w:r w:rsidR="008A4FB3" w:rsidRPr="00C55A00">
        <w:rPr>
          <w:rFonts w:ascii="Arial" w:hAnsi="Arial" w:cs="Arial"/>
          <w:b/>
          <w:i/>
        </w:rPr>
        <w:t>ndered remedies</w:t>
      </w:r>
    </w:p>
    <w:p w:rsidR="007D6EF9" w:rsidRDefault="007D6EF9" w:rsidP="0080582B">
      <w:pPr>
        <w:pStyle w:val="ListParagraph"/>
        <w:numPr>
          <w:ilvl w:val="0"/>
          <w:numId w:val="2"/>
        </w:numPr>
        <w:spacing w:after="240" w:line="360" w:lineRule="auto"/>
        <w:ind w:left="0" w:firstLine="0"/>
        <w:jc w:val="both"/>
        <w:rPr>
          <w:rFonts w:ascii="Arial" w:hAnsi="Arial" w:cs="Arial"/>
        </w:rPr>
      </w:pPr>
      <w:r>
        <w:rPr>
          <w:rFonts w:ascii="Arial" w:hAnsi="Arial" w:cs="Arial"/>
        </w:rPr>
        <w:t xml:space="preserve">On </w:t>
      </w:r>
      <w:r w:rsidR="00500623" w:rsidRPr="00500623">
        <w:rPr>
          <w:rFonts w:ascii="Arial" w:hAnsi="Arial" w:cs="Arial"/>
        </w:rPr>
        <w:t>08 May</w:t>
      </w:r>
      <w:r>
        <w:rPr>
          <w:rFonts w:ascii="Arial" w:hAnsi="Arial" w:cs="Arial"/>
        </w:rPr>
        <w:t xml:space="preserve"> 2014 the Competition Commission (“Commission”) referred </w:t>
      </w:r>
      <w:r w:rsidR="008F3C9F">
        <w:rPr>
          <w:rFonts w:ascii="Arial" w:hAnsi="Arial" w:cs="Arial"/>
        </w:rPr>
        <w:t>th</w:t>
      </w:r>
      <w:r w:rsidR="007772DA">
        <w:rPr>
          <w:rFonts w:ascii="Arial" w:hAnsi="Arial" w:cs="Arial"/>
        </w:rPr>
        <w:t>e</w:t>
      </w:r>
      <w:r w:rsidR="008F3C9F">
        <w:rPr>
          <w:rFonts w:ascii="Arial" w:hAnsi="Arial" w:cs="Arial"/>
        </w:rPr>
        <w:t xml:space="preserve"> proposed merger, classified as a</w:t>
      </w:r>
      <w:r>
        <w:rPr>
          <w:rFonts w:ascii="Arial" w:hAnsi="Arial" w:cs="Arial"/>
        </w:rPr>
        <w:t xml:space="preserve"> </w:t>
      </w:r>
      <w:r w:rsidR="007772DA">
        <w:rPr>
          <w:rFonts w:ascii="Arial" w:hAnsi="Arial" w:cs="Arial"/>
        </w:rPr>
        <w:t>“</w:t>
      </w:r>
      <w:r w:rsidR="008F3C9F">
        <w:rPr>
          <w:rFonts w:ascii="Arial" w:hAnsi="Arial" w:cs="Arial"/>
        </w:rPr>
        <w:t>large</w:t>
      </w:r>
      <w:r w:rsidR="007772DA">
        <w:rPr>
          <w:rFonts w:ascii="Arial" w:hAnsi="Arial" w:cs="Arial"/>
        </w:rPr>
        <w:t>”</w:t>
      </w:r>
      <w:r w:rsidR="008F3C9F">
        <w:rPr>
          <w:rFonts w:ascii="Arial" w:hAnsi="Arial" w:cs="Arial"/>
        </w:rPr>
        <w:t xml:space="preserve"> merger</w:t>
      </w:r>
      <w:r w:rsidR="007772DA">
        <w:rPr>
          <w:rFonts w:ascii="Arial" w:hAnsi="Arial" w:cs="Arial"/>
        </w:rPr>
        <w:t xml:space="preserve"> in terms of the relevant thresholds</w:t>
      </w:r>
      <w:r w:rsidR="008F3C9F">
        <w:rPr>
          <w:rFonts w:ascii="Arial" w:hAnsi="Arial" w:cs="Arial"/>
        </w:rPr>
        <w:t xml:space="preserve">, </w:t>
      </w:r>
      <w:r>
        <w:rPr>
          <w:rFonts w:ascii="Arial" w:hAnsi="Arial" w:cs="Arial"/>
        </w:rPr>
        <w:t>to the Tribunal</w:t>
      </w:r>
      <w:r w:rsidR="007A3993">
        <w:rPr>
          <w:rFonts w:ascii="Arial" w:hAnsi="Arial" w:cs="Arial"/>
        </w:rPr>
        <w:t>. The Commission</w:t>
      </w:r>
      <w:r>
        <w:rPr>
          <w:rFonts w:ascii="Arial" w:hAnsi="Arial" w:cs="Arial"/>
        </w:rPr>
        <w:t xml:space="preserve"> recommend</w:t>
      </w:r>
      <w:r w:rsidR="007A3993">
        <w:rPr>
          <w:rFonts w:ascii="Arial" w:hAnsi="Arial" w:cs="Arial"/>
        </w:rPr>
        <w:t>ed</w:t>
      </w:r>
      <w:r>
        <w:rPr>
          <w:rFonts w:ascii="Arial" w:hAnsi="Arial" w:cs="Arial"/>
        </w:rPr>
        <w:t xml:space="preserve"> that </w:t>
      </w:r>
      <w:r w:rsidR="007A3993">
        <w:rPr>
          <w:rFonts w:ascii="Arial" w:hAnsi="Arial" w:cs="Arial"/>
        </w:rPr>
        <w:t xml:space="preserve">the </w:t>
      </w:r>
      <w:r w:rsidR="000A66B4">
        <w:rPr>
          <w:rFonts w:ascii="Arial" w:hAnsi="Arial" w:cs="Arial"/>
        </w:rPr>
        <w:t xml:space="preserve">proposed </w:t>
      </w:r>
      <w:r w:rsidR="007A3993">
        <w:rPr>
          <w:rFonts w:ascii="Arial" w:hAnsi="Arial" w:cs="Arial"/>
        </w:rPr>
        <w:t>transaction</w:t>
      </w:r>
      <w:r>
        <w:rPr>
          <w:rFonts w:ascii="Arial" w:hAnsi="Arial" w:cs="Arial"/>
        </w:rPr>
        <w:t xml:space="preserve"> be </w:t>
      </w:r>
      <w:r w:rsidRPr="00443650">
        <w:rPr>
          <w:rFonts w:ascii="Arial" w:hAnsi="Arial" w:cs="Arial"/>
        </w:rPr>
        <w:t>prohibit</w:t>
      </w:r>
      <w:r>
        <w:rPr>
          <w:rFonts w:ascii="Arial" w:hAnsi="Arial" w:cs="Arial"/>
        </w:rPr>
        <w:t xml:space="preserve">ed </w:t>
      </w:r>
      <w:r w:rsidR="006E6EDC">
        <w:rPr>
          <w:rFonts w:ascii="Arial" w:hAnsi="Arial" w:cs="Arial"/>
        </w:rPr>
        <w:t xml:space="preserve">since it </w:t>
      </w:r>
      <w:r w:rsidRPr="00443650">
        <w:rPr>
          <w:rFonts w:ascii="Arial" w:hAnsi="Arial" w:cs="Arial"/>
        </w:rPr>
        <w:t>w</w:t>
      </w:r>
      <w:r w:rsidR="004B0227">
        <w:rPr>
          <w:rFonts w:ascii="Arial" w:hAnsi="Arial" w:cs="Arial"/>
        </w:rPr>
        <w:t>ould</w:t>
      </w:r>
      <w:r w:rsidRPr="00443650">
        <w:rPr>
          <w:rFonts w:ascii="Arial" w:hAnsi="Arial" w:cs="Arial"/>
        </w:rPr>
        <w:t xml:space="preserve"> result in a substantial lessening of competition in </w:t>
      </w:r>
      <w:r w:rsidR="006E6EDC">
        <w:rPr>
          <w:rFonts w:ascii="Arial" w:hAnsi="Arial" w:cs="Arial"/>
        </w:rPr>
        <w:t xml:space="preserve">two </w:t>
      </w:r>
      <w:r w:rsidR="008F3C9F">
        <w:rPr>
          <w:rFonts w:ascii="Arial" w:hAnsi="Arial" w:cs="Arial"/>
        </w:rPr>
        <w:t>relevant</w:t>
      </w:r>
      <w:r w:rsidR="006E6EDC">
        <w:rPr>
          <w:rFonts w:ascii="Arial" w:hAnsi="Arial" w:cs="Arial"/>
        </w:rPr>
        <w:t xml:space="preserve"> </w:t>
      </w:r>
      <w:r w:rsidR="004A1C48" w:rsidRPr="00443650">
        <w:rPr>
          <w:rFonts w:ascii="Arial" w:hAnsi="Arial" w:cs="Arial"/>
        </w:rPr>
        <w:t xml:space="preserve">UPR </w:t>
      </w:r>
      <w:r w:rsidRPr="00443650">
        <w:rPr>
          <w:rFonts w:ascii="Arial" w:hAnsi="Arial" w:cs="Arial"/>
        </w:rPr>
        <w:t>market</w:t>
      </w:r>
      <w:r w:rsidR="006E6EDC">
        <w:rPr>
          <w:rFonts w:ascii="Arial" w:hAnsi="Arial" w:cs="Arial"/>
        </w:rPr>
        <w:t>s</w:t>
      </w:r>
      <w:r>
        <w:rPr>
          <w:rFonts w:ascii="Arial" w:hAnsi="Arial" w:cs="Arial"/>
        </w:rPr>
        <w:t>.</w:t>
      </w:r>
      <w:r w:rsidR="006E6EDC">
        <w:rPr>
          <w:rFonts w:ascii="Arial" w:hAnsi="Arial" w:cs="Arial"/>
        </w:rPr>
        <w:t xml:space="preserve"> </w:t>
      </w:r>
      <w:r w:rsidR="004A1C48">
        <w:rPr>
          <w:rFonts w:ascii="Arial" w:hAnsi="Arial" w:cs="Arial"/>
        </w:rPr>
        <w:t>M</w:t>
      </w:r>
      <w:r w:rsidR="006E6EDC">
        <w:rPr>
          <w:rFonts w:ascii="Arial" w:hAnsi="Arial" w:cs="Arial"/>
        </w:rPr>
        <w:t>arket delineation is discussed below.</w:t>
      </w:r>
    </w:p>
    <w:p w:rsidR="007A1841" w:rsidRPr="007A1841" w:rsidRDefault="006E6EDC" w:rsidP="0080582B">
      <w:pPr>
        <w:pStyle w:val="ListParagraph"/>
        <w:numPr>
          <w:ilvl w:val="0"/>
          <w:numId w:val="2"/>
        </w:numPr>
        <w:spacing w:after="240" w:line="360" w:lineRule="auto"/>
        <w:ind w:left="0" w:firstLine="0"/>
        <w:jc w:val="both"/>
        <w:rPr>
          <w:rFonts w:ascii="Arial" w:hAnsi="Arial"/>
        </w:rPr>
      </w:pPr>
      <w:r w:rsidRPr="007A1841">
        <w:rPr>
          <w:rFonts w:ascii="Arial" w:hAnsi="Arial" w:cs="Arial"/>
        </w:rPr>
        <w:t xml:space="preserve">In an attempt to address the Commission’s concerns about the competitive impact of the </w:t>
      </w:r>
      <w:r w:rsidR="002446C7">
        <w:rPr>
          <w:rFonts w:ascii="Arial" w:hAnsi="Arial" w:cs="Arial"/>
        </w:rPr>
        <w:t xml:space="preserve">proposed </w:t>
      </w:r>
      <w:r w:rsidRPr="007A1841">
        <w:rPr>
          <w:rFonts w:ascii="Arial" w:hAnsi="Arial" w:cs="Arial"/>
        </w:rPr>
        <w:t>transaction</w:t>
      </w:r>
      <w:r w:rsidR="00647545">
        <w:rPr>
          <w:rFonts w:ascii="Arial" w:hAnsi="Arial" w:cs="Arial"/>
        </w:rPr>
        <w:t>,</w:t>
      </w:r>
      <w:r w:rsidRPr="007A1841">
        <w:rPr>
          <w:rFonts w:ascii="Arial" w:hAnsi="Arial" w:cs="Arial"/>
        </w:rPr>
        <w:t xml:space="preserve"> t</w:t>
      </w:r>
      <w:r w:rsidR="007D6EF9" w:rsidRPr="007A1841">
        <w:rPr>
          <w:rFonts w:ascii="Arial" w:hAnsi="Arial" w:cs="Arial"/>
        </w:rPr>
        <w:t xml:space="preserve">he merging parties </w:t>
      </w:r>
      <w:r w:rsidRPr="007A1841">
        <w:rPr>
          <w:rFonts w:ascii="Arial" w:hAnsi="Arial" w:cs="Arial"/>
        </w:rPr>
        <w:t>tendered</w:t>
      </w:r>
      <w:r w:rsidR="007D6EF9" w:rsidRPr="007A1841">
        <w:rPr>
          <w:rFonts w:ascii="Arial" w:hAnsi="Arial" w:cs="Arial"/>
        </w:rPr>
        <w:t xml:space="preserve"> certain remedies</w:t>
      </w:r>
      <w:r w:rsidR="00D100D2" w:rsidRPr="007A1841">
        <w:rPr>
          <w:rFonts w:ascii="Arial" w:hAnsi="Arial" w:cs="Arial"/>
        </w:rPr>
        <w:t>. The</w:t>
      </w:r>
      <w:r w:rsidR="00A41117">
        <w:rPr>
          <w:rFonts w:ascii="Arial" w:hAnsi="Arial" w:cs="Arial"/>
        </w:rPr>
        <w:t>se</w:t>
      </w:r>
      <w:r w:rsidR="00D100D2" w:rsidRPr="007A1841">
        <w:rPr>
          <w:rFonts w:ascii="Arial" w:hAnsi="Arial" w:cs="Arial"/>
        </w:rPr>
        <w:t xml:space="preserve"> tendered remedies </w:t>
      </w:r>
      <w:r w:rsidRPr="007A1841">
        <w:rPr>
          <w:rFonts w:ascii="Arial" w:hAnsi="Arial" w:cs="Arial"/>
        </w:rPr>
        <w:t>evolved over time</w:t>
      </w:r>
      <w:r w:rsidR="007D6EF9" w:rsidRPr="007A1841">
        <w:rPr>
          <w:rFonts w:ascii="Arial" w:hAnsi="Arial" w:cs="Arial"/>
        </w:rPr>
        <w:t xml:space="preserve">. First, during the Commission’s investigation </w:t>
      </w:r>
      <w:r w:rsidR="00A41117">
        <w:rPr>
          <w:rFonts w:ascii="Arial" w:hAnsi="Arial" w:cs="Arial"/>
        </w:rPr>
        <w:t>phase</w:t>
      </w:r>
      <w:r w:rsidR="007D6EF9" w:rsidRPr="007A1841">
        <w:rPr>
          <w:rFonts w:ascii="Arial" w:hAnsi="Arial" w:cs="Arial"/>
        </w:rPr>
        <w:t>, the merging parties offered a pricing</w:t>
      </w:r>
      <w:r w:rsidR="00A41117">
        <w:rPr>
          <w:rFonts w:ascii="Arial" w:hAnsi="Arial" w:cs="Arial"/>
        </w:rPr>
        <w:t>-related</w:t>
      </w:r>
      <w:r w:rsidR="007D6EF9" w:rsidRPr="007A1841">
        <w:rPr>
          <w:rFonts w:ascii="Arial" w:hAnsi="Arial" w:cs="Arial"/>
        </w:rPr>
        <w:t xml:space="preserve"> remedy for a two-year period for </w:t>
      </w:r>
      <w:r w:rsidR="00D100D2" w:rsidRPr="007A1841">
        <w:rPr>
          <w:rFonts w:ascii="Arial" w:hAnsi="Arial" w:cs="Arial"/>
        </w:rPr>
        <w:t xml:space="preserve">all </w:t>
      </w:r>
      <w:r w:rsidR="007D6EF9" w:rsidRPr="007A1841">
        <w:rPr>
          <w:rFonts w:ascii="Arial" w:hAnsi="Arial" w:cs="Arial"/>
        </w:rPr>
        <w:t>UPR</w:t>
      </w:r>
      <w:r w:rsidR="00D100D2" w:rsidRPr="007A1841">
        <w:rPr>
          <w:rFonts w:ascii="Arial" w:hAnsi="Arial" w:cs="Arial"/>
        </w:rPr>
        <w:t>s</w:t>
      </w:r>
      <w:r w:rsidR="007D6EF9" w:rsidRPr="007A1841">
        <w:rPr>
          <w:rFonts w:ascii="Arial" w:hAnsi="Arial" w:cs="Arial"/>
        </w:rPr>
        <w:t xml:space="preserve"> produced and sold </w:t>
      </w:r>
      <w:r w:rsidR="00A41117">
        <w:rPr>
          <w:rFonts w:ascii="Arial" w:hAnsi="Arial" w:cs="Arial"/>
        </w:rPr>
        <w:t xml:space="preserve">by the merged entity </w:t>
      </w:r>
      <w:r w:rsidR="007D6EF9" w:rsidRPr="007A1841">
        <w:rPr>
          <w:rFonts w:ascii="Arial" w:hAnsi="Arial" w:cs="Arial"/>
        </w:rPr>
        <w:t xml:space="preserve">for use in mining applications. </w:t>
      </w:r>
      <w:r w:rsidR="007A1841" w:rsidRPr="007A1841">
        <w:rPr>
          <w:rFonts w:ascii="Arial" w:hAnsi="Arial"/>
        </w:rPr>
        <w:t>The</w:t>
      </w:r>
      <w:r w:rsidR="00A41117">
        <w:rPr>
          <w:rFonts w:ascii="Arial" w:hAnsi="Arial"/>
        </w:rPr>
        <w:t>se</w:t>
      </w:r>
      <w:r w:rsidR="007A1841" w:rsidRPr="007A1841">
        <w:rPr>
          <w:rFonts w:ascii="Arial" w:hAnsi="Arial"/>
        </w:rPr>
        <w:t xml:space="preserve"> </w:t>
      </w:r>
      <w:r w:rsidR="007A1841" w:rsidRPr="007A1841">
        <w:rPr>
          <w:rFonts w:ascii="Arial" w:hAnsi="Arial"/>
        </w:rPr>
        <w:lastRenderedPageBreak/>
        <w:t xml:space="preserve">mining </w:t>
      </w:r>
      <w:r w:rsidR="00A41117">
        <w:rPr>
          <w:rFonts w:ascii="Arial" w:hAnsi="Arial"/>
        </w:rPr>
        <w:t xml:space="preserve">applications refer to the </w:t>
      </w:r>
      <w:r w:rsidR="007A1841" w:rsidRPr="007A1841">
        <w:rPr>
          <w:rFonts w:ascii="Arial" w:hAnsi="Arial"/>
        </w:rPr>
        <w:t xml:space="preserve">use </w:t>
      </w:r>
      <w:r w:rsidR="00A41117">
        <w:rPr>
          <w:rFonts w:ascii="Arial" w:hAnsi="Arial"/>
        </w:rPr>
        <w:t xml:space="preserve">of specialised </w:t>
      </w:r>
      <w:r w:rsidR="007A1841" w:rsidRPr="007A1841">
        <w:rPr>
          <w:rFonts w:ascii="Arial" w:hAnsi="Arial"/>
        </w:rPr>
        <w:t xml:space="preserve">UPR </w:t>
      </w:r>
      <w:r w:rsidR="00A41117">
        <w:rPr>
          <w:rFonts w:ascii="Arial" w:hAnsi="Arial"/>
        </w:rPr>
        <w:t xml:space="preserve">for the production of </w:t>
      </w:r>
      <w:r w:rsidR="00647545">
        <w:rPr>
          <w:rFonts w:ascii="Arial" w:hAnsi="Arial"/>
        </w:rPr>
        <w:t>encapsulated resin grout</w:t>
      </w:r>
      <w:r w:rsidR="007A1841" w:rsidRPr="007A1841">
        <w:rPr>
          <w:rFonts w:ascii="Arial" w:hAnsi="Arial"/>
        </w:rPr>
        <w:t xml:space="preserve"> for underground mines by adding fillers to the resin.</w:t>
      </w:r>
    </w:p>
    <w:p w:rsidR="00D100D2" w:rsidRDefault="007A3993" w:rsidP="0080582B">
      <w:pPr>
        <w:pStyle w:val="ListParagraph"/>
        <w:numPr>
          <w:ilvl w:val="0"/>
          <w:numId w:val="2"/>
        </w:numPr>
        <w:spacing w:after="240" w:line="360" w:lineRule="auto"/>
        <w:ind w:left="0" w:firstLine="0"/>
        <w:jc w:val="both"/>
        <w:rPr>
          <w:rFonts w:ascii="Arial" w:hAnsi="Arial" w:cs="Arial"/>
        </w:rPr>
      </w:pPr>
      <w:r>
        <w:rPr>
          <w:rFonts w:ascii="Arial" w:hAnsi="Arial" w:cs="Arial"/>
        </w:rPr>
        <w:t>Shortly</w:t>
      </w:r>
      <w:r w:rsidRPr="00680014">
        <w:rPr>
          <w:rFonts w:ascii="Arial" w:hAnsi="Arial" w:cs="Arial"/>
        </w:rPr>
        <w:t xml:space="preserve"> </w:t>
      </w:r>
      <w:r w:rsidR="007D6EF9" w:rsidRPr="00680014">
        <w:rPr>
          <w:rFonts w:ascii="Arial" w:hAnsi="Arial" w:cs="Arial"/>
        </w:rPr>
        <w:t>prior to the</w:t>
      </w:r>
      <w:r>
        <w:rPr>
          <w:rFonts w:ascii="Arial" w:hAnsi="Arial" w:cs="Arial"/>
        </w:rPr>
        <w:t xml:space="preserve"> commencement of the</w:t>
      </w:r>
      <w:r w:rsidR="007D6EF9" w:rsidRPr="00680014">
        <w:rPr>
          <w:rFonts w:ascii="Arial" w:hAnsi="Arial" w:cs="Arial"/>
        </w:rPr>
        <w:t xml:space="preserve"> </w:t>
      </w:r>
      <w:r w:rsidR="00A41117" w:rsidRPr="00680014">
        <w:rPr>
          <w:rFonts w:ascii="Arial" w:hAnsi="Arial" w:cs="Arial"/>
        </w:rPr>
        <w:t xml:space="preserve">hearing </w:t>
      </w:r>
      <w:r w:rsidR="00A41117">
        <w:rPr>
          <w:rFonts w:ascii="Arial" w:hAnsi="Arial" w:cs="Arial"/>
        </w:rPr>
        <w:t xml:space="preserve">of </w:t>
      </w:r>
      <w:r>
        <w:rPr>
          <w:rFonts w:ascii="Arial" w:hAnsi="Arial" w:cs="Arial"/>
        </w:rPr>
        <w:t xml:space="preserve">this </w:t>
      </w:r>
      <w:r w:rsidR="00A41117">
        <w:rPr>
          <w:rFonts w:ascii="Arial" w:hAnsi="Arial" w:cs="Arial"/>
        </w:rPr>
        <w:t>matter</w:t>
      </w:r>
      <w:r>
        <w:rPr>
          <w:rFonts w:ascii="Arial" w:hAnsi="Arial" w:cs="Arial"/>
        </w:rPr>
        <w:t>,</w:t>
      </w:r>
      <w:r w:rsidR="007D6EF9" w:rsidRPr="00680014">
        <w:rPr>
          <w:rFonts w:ascii="Arial" w:hAnsi="Arial" w:cs="Arial"/>
        </w:rPr>
        <w:t xml:space="preserve"> the merging parties </w:t>
      </w:r>
      <w:r w:rsidR="00D100D2">
        <w:rPr>
          <w:rFonts w:ascii="Arial" w:hAnsi="Arial" w:cs="Arial"/>
        </w:rPr>
        <w:t xml:space="preserve">enhanced their </w:t>
      </w:r>
      <w:r w:rsidR="009903BB">
        <w:rPr>
          <w:rFonts w:ascii="Arial" w:hAnsi="Arial" w:cs="Arial"/>
        </w:rPr>
        <w:t xml:space="preserve">above-mentioned </w:t>
      </w:r>
      <w:r w:rsidR="00D100D2">
        <w:rPr>
          <w:rFonts w:ascii="Arial" w:hAnsi="Arial" w:cs="Arial"/>
        </w:rPr>
        <w:t xml:space="preserve">tendered </w:t>
      </w:r>
      <w:r w:rsidR="00636AD9">
        <w:rPr>
          <w:rFonts w:ascii="Arial" w:hAnsi="Arial" w:cs="Arial"/>
        </w:rPr>
        <w:t xml:space="preserve">pricing </w:t>
      </w:r>
      <w:r w:rsidR="00D100D2">
        <w:rPr>
          <w:rFonts w:ascii="Arial" w:hAnsi="Arial" w:cs="Arial"/>
        </w:rPr>
        <w:t xml:space="preserve">remedy by </w:t>
      </w:r>
      <w:r w:rsidR="007D6EF9" w:rsidRPr="00680014">
        <w:rPr>
          <w:rFonts w:ascii="Arial" w:hAnsi="Arial" w:cs="Arial"/>
        </w:rPr>
        <w:t>offer</w:t>
      </w:r>
      <w:r w:rsidR="00D100D2">
        <w:rPr>
          <w:rFonts w:ascii="Arial" w:hAnsi="Arial" w:cs="Arial"/>
        </w:rPr>
        <w:t>ing</w:t>
      </w:r>
      <w:r w:rsidR="007D6EF9" w:rsidRPr="00680014">
        <w:rPr>
          <w:rFonts w:ascii="Arial" w:hAnsi="Arial" w:cs="Arial"/>
        </w:rPr>
        <w:t xml:space="preserve"> to place the Arkema </w:t>
      </w:r>
      <w:r w:rsidR="00D100D2">
        <w:rPr>
          <w:rFonts w:ascii="Arial" w:hAnsi="Arial" w:cs="Arial"/>
        </w:rPr>
        <w:t xml:space="preserve">UPR </w:t>
      </w:r>
      <w:r w:rsidR="00F02DA6">
        <w:rPr>
          <w:rFonts w:ascii="Arial" w:hAnsi="Arial" w:cs="Arial"/>
        </w:rPr>
        <w:t>recipes, know-h</w:t>
      </w:r>
      <w:r w:rsidR="007D6EF9" w:rsidRPr="00680014">
        <w:rPr>
          <w:rFonts w:ascii="Arial" w:hAnsi="Arial" w:cs="Arial"/>
        </w:rPr>
        <w:t>ow and customer lists</w:t>
      </w:r>
      <w:r w:rsidR="007D6EF9">
        <w:rPr>
          <w:rStyle w:val="FootnoteReference"/>
          <w:rFonts w:ascii="Arial" w:hAnsi="Arial" w:cs="Arial"/>
        </w:rPr>
        <w:footnoteReference w:id="5"/>
      </w:r>
      <w:r w:rsidR="007D6EF9" w:rsidRPr="00680014">
        <w:rPr>
          <w:rFonts w:ascii="Arial" w:hAnsi="Arial" w:cs="Arial"/>
        </w:rPr>
        <w:t xml:space="preserve"> in a public repository</w:t>
      </w:r>
      <w:r w:rsidR="00A41117">
        <w:rPr>
          <w:rFonts w:ascii="Arial" w:hAnsi="Arial" w:cs="Arial"/>
        </w:rPr>
        <w:t xml:space="preserve">. It was clarified during the </w:t>
      </w:r>
      <w:r w:rsidR="009903BB">
        <w:rPr>
          <w:rFonts w:ascii="Arial" w:hAnsi="Arial" w:cs="Arial"/>
        </w:rPr>
        <w:t xml:space="preserve">merger </w:t>
      </w:r>
      <w:r w:rsidR="00A41117">
        <w:rPr>
          <w:rFonts w:ascii="Arial" w:hAnsi="Arial" w:cs="Arial"/>
        </w:rPr>
        <w:t xml:space="preserve">hearing that this proposed remedy package included access to all </w:t>
      </w:r>
      <w:r w:rsidR="00A41117" w:rsidRPr="003B1C9D">
        <w:rPr>
          <w:rFonts w:ascii="Arial" w:hAnsi="Arial" w:cs="Arial"/>
        </w:rPr>
        <w:t>Arkema SA’s intangible assets including customer lists, UPR formulations, specifications, certifications and data</w:t>
      </w:r>
      <w:r w:rsidR="00A41117">
        <w:rPr>
          <w:rFonts w:ascii="Arial" w:hAnsi="Arial" w:cs="Arial"/>
        </w:rPr>
        <w:t>.</w:t>
      </w:r>
      <w:r w:rsidR="00A41117" w:rsidRPr="00680014">
        <w:rPr>
          <w:rFonts w:ascii="Arial" w:hAnsi="Arial" w:cs="Arial"/>
        </w:rPr>
        <w:t xml:space="preserve"> </w:t>
      </w:r>
      <w:r w:rsidR="00A41117">
        <w:rPr>
          <w:rFonts w:ascii="Arial" w:hAnsi="Arial" w:cs="Arial"/>
        </w:rPr>
        <w:t xml:space="preserve">These </w:t>
      </w:r>
      <w:r w:rsidR="00A41117" w:rsidRPr="003B1C9D">
        <w:rPr>
          <w:rFonts w:ascii="Arial" w:hAnsi="Arial" w:cs="Arial"/>
        </w:rPr>
        <w:t xml:space="preserve">intangible assets </w:t>
      </w:r>
      <w:r w:rsidR="00D100D2">
        <w:rPr>
          <w:rFonts w:ascii="Arial" w:hAnsi="Arial" w:cs="Arial"/>
        </w:rPr>
        <w:t xml:space="preserve">would be </w:t>
      </w:r>
      <w:r w:rsidR="00A41117">
        <w:rPr>
          <w:rFonts w:ascii="Arial" w:hAnsi="Arial" w:cs="Arial"/>
        </w:rPr>
        <w:t xml:space="preserve">made </w:t>
      </w:r>
      <w:r w:rsidR="007D6EF9" w:rsidRPr="003B1C9D">
        <w:rPr>
          <w:rFonts w:ascii="Arial" w:hAnsi="Arial" w:cs="Arial"/>
        </w:rPr>
        <w:t xml:space="preserve">available </w:t>
      </w:r>
      <w:r w:rsidR="00D100D2" w:rsidRPr="00680014">
        <w:rPr>
          <w:rFonts w:ascii="Arial" w:hAnsi="Arial" w:cs="Arial"/>
        </w:rPr>
        <w:t xml:space="preserve">free of charge </w:t>
      </w:r>
      <w:r w:rsidR="007D6EF9" w:rsidRPr="003B1C9D">
        <w:rPr>
          <w:rFonts w:ascii="Arial" w:hAnsi="Arial" w:cs="Arial"/>
        </w:rPr>
        <w:t xml:space="preserve">to </w:t>
      </w:r>
      <w:r w:rsidR="00A41117">
        <w:rPr>
          <w:rFonts w:ascii="Arial" w:hAnsi="Arial" w:cs="Arial"/>
        </w:rPr>
        <w:t>any</w:t>
      </w:r>
      <w:r w:rsidR="007D6EF9" w:rsidRPr="003B1C9D">
        <w:rPr>
          <w:rFonts w:ascii="Arial" w:hAnsi="Arial" w:cs="Arial"/>
        </w:rPr>
        <w:t xml:space="preserve"> interested </w:t>
      </w:r>
      <w:r w:rsidR="00E77BBF">
        <w:rPr>
          <w:rFonts w:ascii="Arial" w:hAnsi="Arial" w:cs="Arial"/>
        </w:rPr>
        <w:t xml:space="preserve">third </w:t>
      </w:r>
      <w:r w:rsidR="007D6EF9" w:rsidRPr="003B1C9D">
        <w:rPr>
          <w:rFonts w:ascii="Arial" w:hAnsi="Arial" w:cs="Arial"/>
        </w:rPr>
        <w:t>part</w:t>
      </w:r>
      <w:r w:rsidR="00A41117">
        <w:rPr>
          <w:rFonts w:ascii="Arial" w:hAnsi="Arial" w:cs="Arial"/>
        </w:rPr>
        <w:t>y</w:t>
      </w:r>
      <w:r w:rsidR="007D6EF9" w:rsidRPr="003B1C9D">
        <w:rPr>
          <w:rFonts w:ascii="Arial" w:hAnsi="Arial" w:cs="Arial"/>
        </w:rPr>
        <w:t xml:space="preserve"> on a non-exclusive basis</w:t>
      </w:r>
      <w:r w:rsidR="004B0227">
        <w:rPr>
          <w:rFonts w:ascii="Arial" w:hAnsi="Arial" w:cs="Arial"/>
        </w:rPr>
        <w:t xml:space="preserve"> which the merging parties argued would facilitate entry</w:t>
      </w:r>
      <w:r w:rsidR="00474B48">
        <w:rPr>
          <w:rFonts w:ascii="Arial" w:hAnsi="Arial" w:cs="Arial"/>
        </w:rPr>
        <w:t xml:space="preserve">/expansion </w:t>
      </w:r>
      <w:r w:rsidR="004B0227">
        <w:rPr>
          <w:rFonts w:ascii="Arial" w:hAnsi="Arial" w:cs="Arial"/>
        </w:rPr>
        <w:t>by any interested party.</w:t>
      </w:r>
      <w:r w:rsidR="00474B48">
        <w:rPr>
          <w:rStyle w:val="FootnoteReference"/>
          <w:rFonts w:ascii="Arial" w:hAnsi="Arial" w:cs="Arial"/>
        </w:rPr>
        <w:footnoteReference w:id="6"/>
      </w:r>
      <w:r w:rsidR="007D6EF9" w:rsidRPr="00680014">
        <w:rPr>
          <w:rFonts w:ascii="Arial" w:hAnsi="Arial" w:cs="Arial"/>
        </w:rPr>
        <w:t xml:space="preserve"> </w:t>
      </w:r>
      <w:r>
        <w:rPr>
          <w:rFonts w:ascii="Arial" w:hAnsi="Arial" w:cs="Arial"/>
        </w:rPr>
        <w:t>T</w:t>
      </w:r>
      <w:r w:rsidR="007D6EF9" w:rsidRPr="00680014">
        <w:rPr>
          <w:rFonts w:ascii="Arial" w:hAnsi="Arial" w:cs="Arial"/>
        </w:rPr>
        <w:t xml:space="preserve">his </w:t>
      </w:r>
      <w:r w:rsidR="00A41117">
        <w:rPr>
          <w:rFonts w:ascii="Arial" w:hAnsi="Arial" w:cs="Arial"/>
        </w:rPr>
        <w:t>tendered remedy</w:t>
      </w:r>
      <w:r>
        <w:rPr>
          <w:rFonts w:ascii="Arial" w:hAnsi="Arial" w:cs="Arial"/>
        </w:rPr>
        <w:t xml:space="preserve"> shall be referred to hereinafter</w:t>
      </w:r>
      <w:r w:rsidR="00A41117">
        <w:rPr>
          <w:rFonts w:ascii="Arial" w:hAnsi="Arial" w:cs="Arial"/>
        </w:rPr>
        <w:t xml:space="preserve"> as t</w:t>
      </w:r>
      <w:r w:rsidR="007D6EF9" w:rsidRPr="00680014">
        <w:rPr>
          <w:rFonts w:ascii="Arial" w:hAnsi="Arial" w:cs="Arial"/>
        </w:rPr>
        <w:t>he “public repository remedy</w:t>
      </w:r>
      <w:r w:rsidR="00DC5272">
        <w:rPr>
          <w:rFonts w:ascii="Arial" w:hAnsi="Arial" w:cs="Arial"/>
        </w:rPr>
        <w:t>”</w:t>
      </w:r>
      <w:r w:rsidR="007D6EF9" w:rsidRPr="00680014">
        <w:rPr>
          <w:rFonts w:ascii="Arial" w:hAnsi="Arial" w:cs="Arial"/>
        </w:rPr>
        <w:t xml:space="preserve">.  </w:t>
      </w:r>
    </w:p>
    <w:p w:rsidR="007D6EF9" w:rsidRDefault="007D6EF9" w:rsidP="0080582B">
      <w:pPr>
        <w:pStyle w:val="ListParagraph"/>
        <w:numPr>
          <w:ilvl w:val="0"/>
          <w:numId w:val="2"/>
        </w:numPr>
        <w:spacing w:after="240" w:line="360" w:lineRule="auto"/>
        <w:ind w:left="0" w:firstLine="0"/>
        <w:jc w:val="both"/>
        <w:rPr>
          <w:rFonts w:ascii="Arial" w:hAnsi="Arial" w:cs="Arial"/>
        </w:rPr>
      </w:pPr>
      <w:r w:rsidRPr="00680014">
        <w:rPr>
          <w:rFonts w:ascii="Arial" w:hAnsi="Arial" w:cs="Arial"/>
        </w:rPr>
        <w:t>At a later stage</w:t>
      </w:r>
      <w:r w:rsidR="00CD040A">
        <w:rPr>
          <w:rFonts w:ascii="Arial" w:hAnsi="Arial" w:cs="Arial"/>
        </w:rPr>
        <w:t>, after commencement of the hearing</w:t>
      </w:r>
      <w:r w:rsidRPr="00680014">
        <w:rPr>
          <w:rFonts w:ascii="Arial" w:hAnsi="Arial" w:cs="Arial"/>
        </w:rPr>
        <w:t xml:space="preserve"> </w:t>
      </w:r>
      <w:r w:rsidR="00CD040A">
        <w:rPr>
          <w:rFonts w:ascii="Arial" w:hAnsi="Arial" w:cs="Arial"/>
        </w:rPr>
        <w:t xml:space="preserve">and </w:t>
      </w:r>
      <w:r w:rsidR="004B0227">
        <w:rPr>
          <w:rFonts w:ascii="Arial" w:hAnsi="Arial" w:cs="Arial"/>
        </w:rPr>
        <w:t>following certain reservations raised by</w:t>
      </w:r>
      <w:r w:rsidRPr="00680014">
        <w:rPr>
          <w:rFonts w:ascii="Arial" w:hAnsi="Arial" w:cs="Arial"/>
        </w:rPr>
        <w:t xml:space="preserve"> the Commission </w:t>
      </w:r>
      <w:r w:rsidR="00CD040A">
        <w:rPr>
          <w:rFonts w:ascii="Arial" w:hAnsi="Arial" w:cs="Arial"/>
        </w:rPr>
        <w:t>regarding</w:t>
      </w:r>
      <w:r w:rsidRPr="00680014">
        <w:rPr>
          <w:rFonts w:ascii="Arial" w:hAnsi="Arial" w:cs="Arial"/>
        </w:rPr>
        <w:t xml:space="preserve"> the </w:t>
      </w:r>
      <w:r w:rsidR="00EC1983">
        <w:rPr>
          <w:rFonts w:ascii="Arial" w:hAnsi="Arial" w:cs="Arial"/>
        </w:rPr>
        <w:t xml:space="preserve">effectiveness of the </w:t>
      </w:r>
      <w:r w:rsidR="00D100D2">
        <w:rPr>
          <w:rFonts w:ascii="Arial" w:hAnsi="Arial" w:cs="Arial"/>
        </w:rPr>
        <w:t xml:space="preserve">tendered </w:t>
      </w:r>
      <w:r w:rsidRPr="00680014">
        <w:rPr>
          <w:rFonts w:ascii="Arial" w:hAnsi="Arial" w:cs="Arial"/>
        </w:rPr>
        <w:t>public repository remedy</w:t>
      </w:r>
      <w:r w:rsidR="004B0227">
        <w:rPr>
          <w:rFonts w:ascii="Arial" w:hAnsi="Arial" w:cs="Arial"/>
        </w:rPr>
        <w:t>,</w:t>
      </w:r>
      <w:r w:rsidRPr="00680014">
        <w:rPr>
          <w:rFonts w:ascii="Arial" w:hAnsi="Arial" w:cs="Arial"/>
        </w:rPr>
        <w:t xml:space="preserve"> the merging parties</w:t>
      </w:r>
      <w:r w:rsidR="00CD040A">
        <w:rPr>
          <w:rFonts w:ascii="Arial" w:hAnsi="Arial" w:cs="Arial"/>
        </w:rPr>
        <w:t xml:space="preserve">, as an alternative to the </w:t>
      </w:r>
      <w:r w:rsidR="00CD040A" w:rsidRPr="00680014">
        <w:rPr>
          <w:rFonts w:ascii="Arial" w:hAnsi="Arial" w:cs="Arial"/>
        </w:rPr>
        <w:t>public repository remedy</w:t>
      </w:r>
      <w:r w:rsidR="00CD040A">
        <w:rPr>
          <w:rFonts w:ascii="Arial" w:hAnsi="Arial" w:cs="Arial"/>
        </w:rPr>
        <w:t>,</w:t>
      </w:r>
      <w:r w:rsidRPr="00680014">
        <w:rPr>
          <w:rFonts w:ascii="Arial" w:hAnsi="Arial" w:cs="Arial"/>
        </w:rPr>
        <w:t xml:space="preserve"> offered to make Arkema </w:t>
      </w:r>
      <w:r w:rsidRPr="003B1C9D">
        <w:rPr>
          <w:rFonts w:ascii="Arial" w:hAnsi="Arial" w:cs="Arial"/>
        </w:rPr>
        <w:t>SA’s intangible assets</w:t>
      </w:r>
      <w:r w:rsidRPr="00680014">
        <w:rPr>
          <w:rFonts w:ascii="Arial" w:hAnsi="Arial" w:cs="Arial"/>
        </w:rPr>
        <w:t xml:space="preserve"> available to a </w:t>
      </w:r>
      <w:r>
        <w:rPr>
          <w:rFonts w:ascii="Arial" w:hAnsi="Arial" w:cs="Arial"/>
        </w:rPr>
        <w:t xml:space="preserve">single </w:t>
      </w:r>
      <w:r w:rsidRPr="00680014">
        <w:rPr>
          <w:rFonts w:ascii="Arial" w:hAnsi="Arial" w:cs="Arial"/>
        </w:rPr>
        <w:t>third party purchaser on an exclusive basis</w:t>
      </w:r>
      <w:r w:rsidR="00CD040A">
        <w:rPr>
          <w:rFonts w:ascii="Arial" w:hAnsi="Arial" w:cs="Arial"/>
        </w:rPr>
        <w:t>, including a toll manufacturing arrangement for a limited period</w:t>
      </w:r>
      <w:r w:rsidRPr="00680014">
        <w:rPr>
          <w:rFonts w:ascii="Arial" w:hAnsi="Arial" w:cs="Arial"/>
        </w:rPr>
        <w:t>.</w:t>
      </w:r>
      <w:r>
        <w:rPr>
          <w:rStyle w:val="FootnoteReference"/>
          <w:rFonts w:ascii="Arial" w:hAnsi="Arial" w:cs="Arial"/>
        </w:rPr>
        <w:footnoteReference w:id="7"/>
      </w:r>
      <w:r w:rsidRPr="00680014">
        <w:rPr>
          <w:rFonts w:ascii="Arial" w:hAnsi="Arial" w:cs="Arial"/>
        </w:rPr>
        <w:t xml:space="preserve"> </w:t>
      </w:r>
      <w:r w:rsidR="00CD040A">
        <w:rPr>
          <w:rFonts w:ascii="Arial" w:hAnsi="Arial" w:cs="Arial"/>
        </w:rPr>
        <w:t xml:space="preserve">As </w:t>
      </w:r>
      <w:r w:rsidR="00D13FA1">
        <w:rPr>
          <w:rFonts w:ascii="Arial" w:hAnsi="Arial" w:cs="Arial"/>
        </w:rPr>
        <w:t>indicated</w:t>
      </w:r>
      <w:r w:rsidR="00CD040A">
        <w:rPr>
          <w:rFonts w:ascii="Arial" w:hAnsi="Arial" w:cs="Arial"/>
        </w:rPr>
        <w:t xml:space="preserve"> below, </w:t>
      </w:r>
      <w:r w:rsidR="00D13FA1">
        <w:rPr>
          <w:rFonts w:ascii="Arial" w:hAnsi="Arial" w:cs="Arial"/>
        </w:rPr>
        <w:t xml:space="preserve">the merging parties later </w:t>
      </w:r>
      <w:r w:rsidR="00EC1983">
        <w:rPr>
          <w:rFonts w:ascii="Arial" w:hAnsi="Arial" w:cs="Arial"/>
        </w:rPr>
        <w:t xml:space="preserve">agreed to </w:t>
      </w:r>
      <w:r w:rsidR="00D13FA1">
        <w:rPr>
          <w:rFonts w:ascii="Arial" w:hAnsi="Arial" w:cs="Arial"/>
        </w:rPr>
        <w:t xml:space="preserve">extend </w:t>
      </w:r>
      <w:r w:rsidR="00CD040A">
        <w:rPr>
          <w:rFonts w:ascii="Arial" w:hAnsi="Arial" w:cs="Arial"/>
        </w:rPr>
        <w:t xml:space="preserve">this period of the tolling arrangement. </w:t>
      </w:r>
      <w:r w:rsidR="007A3993">
        <w:rPr>
          <w:rFonts w:ascii="Arial" w:hAnsi="Arial" w:cs="Arial"/>
        </w:rPr>
        <w:t>T</w:t>
      </w:r>
      <w:r w:rsidR="007A3993" w:rsidRPr="00680014">
        <w:rPr>
          <w:rFonts w:ascii="Arial" w:hAnsi="Arial" w:cs="Arial"/>
        </w:rPr>
        <w:t xml:space="preserve">his </w:t>
      </w:r>
      <w:r w:rsidR="007A3993">
        <w:rPr>
          <w:rFonts w:ascii="Arial" w:hAnsi="Arial" w:cs="Arial"/>
        </w:rPr>
        <w:t xml:space="preserve">tendered remedy shall be referred to hereinafter </w:t>
      </w:r>
      <w:r w:rsidRPr="00680014">
        <w:rPr>
          <w:rFonts w:ascii="Arial" w:hAnsi="Arial" w:cs="Arial"/>
        </w:rPr>
        <w:t>as the “divestiture remedy</w:t>
      </w:r>
      <w:r w:rsidR="00E77BBF">
        <w:rPr>
          <w:rFonts w:ascii="Arial" w:hAnsi="Arial" w:cs="Arial"/>
        </w:rPr>
        <w:t>”</w:t>
      </w:r>
      <w:r w:rsidRPr="00680014">
        <w:rPr>
          <w:rFonts w:ascii="Arial" w:hAnsi="Arial" w:cs="Arial"/>
        </w:rPr>
        <w:t xml:space="preserve">. </w:t>
      </w:r>
      <w:r w:rsidR="00EC1983">
        <w:rPr>
          <w:rFonts w:ascii="Arial" w:hAnsi="Arial" w:cs="Arial"/>
        </w:rPr>
        <w:t>During the hearing the Commission appeared to favour this remedy above the public repository remedy.</w:t>
      </w:r>
    </w:p>
    <w:p w:rsidR="002844E5" w:rsidRDefault="007F705D" w:rsidP="0080582B">
      <w:pPr>
        <w:pStyle w:val="ListParagraph"/>
        <w:numPr>
          <w:ilvl w:val="0"/>
          <w:numId w:val="2"/>
        </w:numPr>
        <w:spacing w:after="240" w:line="360" w:lineRule="auto"/>
        <w:ind w:left="0" w:firstLine="0"/>
        <w:jc w:val="both"/>
        <w:rPr>
          <w:rFonts w:ascii="Arial" w:hAnsi="Arial" w:cs="Arial"/>
        </w:rPr>
      </w:pPr>
      <w:r>
        <w:rPr>
          <w:rFonts w:ascii="Arial" w:hAnsi="Arial" w:cs="Arial"/>
        </w:rPr>
        <w:t xml:space="preserve">Given </w:t>
      </w:r>
      <w:r w:rsidR="002844E5">
        <w:rPr>
          <w:rFonts w:ascii="Arial" w:hAnsi="Arial" w:cs="Arial"/>
        </w:rPr>
        <w:t>the merging parties</w:t>
      </w:r>
      <w:r>
        <w:rPr>
          <w:rFonts w:ascii="Arial" w:hAnsi="Arial" w:cs="Arial"/>
        </w:rPr>
        <w:t>’</w:t>
      </w:r>
      <w:r w:rsidR="002844E5">
        <w:rPr>
          <w:rFonts w:ascii="Arial" w:hAnsi="Arial" w:cs="Arial"/>
        </w:rPr>
        <w:t xml:space="preserve"> tendered set of proposed remedies to address any potential competition concerns resulting from the proposed merger, we shall focus our attention in these reasons on those remedies, and the extent to which they address the concerns raised by the Commission and certain third parties, </w:t>
      </w:r>
      <w:r w:rsidR="00F36A26">
        <w:rPr>
          <w:rFonts w:ascii="Arial" w:hAnsi="Arial" w:cs="Arial"/>
        </w:rPr>
        <w:t>specifically</w:t>
      </w:r>
      <w:r w:rsidR="002844E5">
        <w:rPr>
          <w:rFonts w:ascii="Arial" w:hAnsi="Arial" w:cs="Arial"/>
        </w:rPr>
        <w:t xml:space="preserve"> </w:t>
      </w:r>
      <w:r w:rsidR="00EC1983">
        <w:rPr>
          <w:rFonts w:ascii="Arial" w:hAnsi="Arial" w:cs="Arial"/>
        </w:rPr>
        <w:t xml:space="preserve">UPR </w:t>
      </w:r>
      <w:r w:rsidR="002844E5">
        <w:rPr>
          <w:rFonts w:ascii="Arial" w:hAnsi="Arial" w:cs="Arial"/>
        </w:rPr>
        <w:t xml:space="preserve">customers. </w:t>
      </w:r>
    </w:p>
    <w:p w:rsidR="007D6EF9" w:rsidRPr="00C55A00" w:rsidRDefault="007D6EF9" w:rsidP="007D6EF9">
      <w:pPr>
        <w:pStyle w:val="ListParagraph"/>
        <w:spacing w:after="240" w:line="360" w:lineRule="auto"/>
        <w:ind w:left="0"/>
        <w:jc w:val="both"/>
        <w:rPr>
          <w:rFonts w:ascii="Arial" w:hAnsi="Arial" w:cs="Arial"/>
          <w:b/>
          <w:i/>
        </w:rPr>
      </w:pPr>
      <w:r w:rsidRPr="00C55A00">
        <w:rPr>
          <w:rFonts w:ascii="Arial" w:hAnsi="Arial" w:cs="Arial"/>
          <w:b/>
          <w:i/>
        </w:rPr>
        <w:t>Witnesses</w:t>
      </w:r>
      <w:r w:rsidR="008A4FB3">
        <w:rPr>
          <w:rFonts w:ascii="Arial" w:hAnsi="Arial" w:cs="Arial"/>
          <w:b/>
          <w:i/>
        </w:rPr>
        <w:t xml:space="preserve"> called</w:t>
      </w:r>
    </w:p>
    <w:p w:rsidR="00AF712D" w:rsidRDefault="00AF712D" w:rsidP="0080582B">
      <w:pPr>
        <w:pStyle w:val="ListParagraph"/>
        <w:numPr>
          <w:ilvl w:val="0"/>
          <w:numId w:val="2"/>
        </w:numPr>
        <w:spacing w:after="240" w:line="360" w:lineRule="auto"/>
        <w:ind w:left="0" w:firstLine="0"/>
        <w:jc w:val="both"/>
        <w:rPr>
          <w:rFonts w:ascii="Arial" w:hAnsi="Arial" w:cs="Arial"/>
        </w:rPr>
      </w:pPr>
      <w:r>
        <w:rPr>
          <w:rFonts w:ascii="Arial" w:hAnsi="Arial" w:cs="Arial"/>
        </w:rPr>
        <w:t>The Commission called the following factual witnesses to testify at the hearing:</w:t>
      </w:r>
    </w:p>
    <w:p w:rsidR="007D6EF9" w:rsidRPr="007A1841" w:rsidRDefault="007D6EF9" w:rsidP="0080582B">
      <w:pPr>
        <w:pStyle w:val="ListParagraph"/>
        <w:numPr>
          <w:ilvl w:val="1"/>
          <w:numId w:val="2"/>
        </w:numPr>
        <w:spacing w:after="240" w:line="360" w:lineRule="auto"/>
        <w:jc w:val="both"/>
        <w:rPr>
          <w:rFonts w:ascii="Arial" w:hAnsi="Arial" w:cs="Arial"/>
        </w:rPr>
      </w:pPr>
      <w:r w:rsidRPr="007A1841">
        <w:rPr>
          <w:rFonts w:ascii="Arial" w:hAnsi="Arial" w:cs="Arial"/>
        </w:rPr>
        <w:lastRenderedPageBreak/>
        <w:t xml:space="preserve">Dr Max Hahn </w:t>
      </w:r>
      <w:r w:rsidR="00AF712D" w:rsidRPr="007A1841">
        <w:rPr>
          <w:rFonts w:ascii="Arial" w:hAnsi="Arial" w:cs="Arial"/>
        </w:rPr>
        <w:t>(“Hahn”)</w:t>
      </w:r>
      <w:r w:rsidR="00056480" w:rsidRPr="007A1841">
        <w:rPr>
          <w:rFonts w:ascii="Arial" w:hAnsi="Arial" w:cs="Arial"/>
        </w:rPr>
        <w:t xml:space="preserve">, the </w:t>
      </w:r>
      <w:r w:rsidR="0092510A">
        <w:rPr>
          <w:rFonts w:ascii="Arial" w:hAnsi="Arial" w:cs="Arial"/>
        </w:rPr>
        <w:t>M</w:t>
      </w:r>
      <w:r w:rsidR="00056480" w:rsidRPr="007A1841">
        <w:rPr>
          <w:rFonts w:ascii="Arial" w:hAnsi="Arial" w:cs="Arial"/>
        </w:rPr>
        <w:t xml:space="preserve">anaging </w:t>
      </w:r>
      <w:r w:rsidR="0092510A">
        <w:rPr>
          <w:rFonts w:ascii="Arial" w:hAnsi="Arial" w:cs="Arial"/>
        </w:rPr>
        <w:t>D</w:t>
      </w:r>
      <w:r w:rsidR="00056480" w:rsidRPr="007A1841">
        <w:rPr>
          <w:rFonts w:ascii="Arial" w:hAnsi="Arial" w:cs="Arial"/>
        </w:rPr>
        <w:t xml:space="preserve">irector </w:t>
      </w:r>
      <w:r w:rsidRPr="007A1841">
        <w:rPr>
          <w:rFonts w:ascii="Arial" w:hAnsi="Arial" w:cs="Arial"/>
        </w:rPr>
        <w:t>of Rocbolt Resins (Pty) Ltd t/a Fasloc Rescaps</w:t>
      </w:r>
      <w:r w:rsidR="00056480" w:rsidRPr="007A1841">
        <w:rPr>
          <w:rFonts w:ascii="Arial" w:hAnsi="Arial" w:cs="Arial"/>
        </w:rPr>
        <w:t xml:space="preserve"> (“Rocbolt”).</w:t>
      </w:r>
      <w:r w:rsidR="007A1841" w:rsidRPr="007A1841">
        <w:rPr>
          <w:rFonts w:ascii="Arial" w:hAnsi="Arial" w:cs="Arial"/>
        </w:rPr>
        <w:t xml:space="preserve"> Rocbolt is a UPR customer that produces encapsulated resin grouts </w:t>
      </w:r>
      <w:r w:rsidR="002C2123" w:rsidRPr="007A1841">
        <w:rPr>
          <w:rFonts w:ascii="Arial" w:hAnsi="Arial" w:cs="Arial"/>
        </w:rPr>
        <w:t xml:space="preserve">used for roof support </w:t>
      </w:r>
      <w:r w:rsidR="002C2123">
        <w:rPr>
          <w:rFonts w:ascii="Arial" w:hAnsi="Arial" w:cs="Arial"/>
        </w:rPr>
        <w:t>in</w:t>
      </w:r>
      <w:r w:rsidR="007A1841" w:rsidRPr="007A1841">
        <w:rPr>
          <w:rFonts w:ascii="Arial" w:hAnsi="Arial" w:cs="Arial"/>
        </w:rPr>
        <w:t xml:space="preserve"> the mining sector.</w:t>
      </w:r>
      <w:r w:rsidR="00F36A26">
        <w:rPr>
          <w:rFonts w:ascii="Arial" w:hAnsi="Arial" w:cs="Arial"/>
        </w:rPr>
        <w:t xml:space="preserve"> It is one of only two customers </w:t>
      </w:r>
      <w:r w:rsidR="005909B2">
        <w:rPr>
          <w:rFonts w:ascii="Arial" w:hAnsi="Arial" w:cs="Arial"/>
        </w:rPr>
        <w:t xml:space="preserve">in South Africa </w:t>
      </w:r>
      <w:r w:rsidR="00F36A26">
        <w:rPr>
          <w:rFonts w:ascii="Arial" w:hAnsi="Arial" w:cs="Arial"/>
        </w:rPr>
        <w:t xml:space="preserve">of UPR used in </w:t>
      </w:r>
      <w:r w:rsidR="00A741B6">
        <w:rPr>
          <w:rFonts w:ascii="Arial" w:hAnsi="Arial" w:cs="Arial"/>
        </w:rPr>
        <w:t xml:space="preserve">the manufacture of </w:t>
      </w:r>
      <w:r w:rsidR="005909B2">
        <w:rPr>
          <w:rFonts w:ascii="Arial" w:hAnsi="Arial" w:cs="Arial"/>
        </w:rPr>
        <w:t>encapsulated resin grout</w:t>
      </w:r>
      <w:r w:rsidR="00A741B6">
        <w:rPr>
          <w:rFonts w:ascii="Arial" w:hAnsi="Arial" w:cs="Arial"/>
        </w:rPr>
        <w:t>s</w:t>
      </w:r>
      <w:r w:rsidR="00F36A26">
        <w:rPr>
          <w:rFonts w:ascii="Arial" w:hAnsi="Arial" w:cs="Arial"/>
        </w:rPr>
        <w:t>.</w:t>
      </w:r>
    </w:p>
    <w:p w:rsidR="00E859EB" w:rsidRPr="00E859EB" w:rsidRDefault="007D6EF9" w:rsidP="0080582B">
      <w:pPr>
        <w:pStyle w:val="ListParagraph"/>
        <w:numPr>
          <w:ilvl w:val="1"/>
          <w:numId w:val="2"/>
        </w:numPr>
        <w:spacing w:after="240" w:line="360" w:lineRule="auto"/>
        <w:jc w:val="both"/>
        <w:rPr>
          <w:rFonts w:ascii="Arial" w:hAnsi="Arial" w:cs="Arial"/>
        </w:rPr>
      </w:pPr>
      <w:r w:rsidRPr="00E859EB">
        <w:rPr>
          <w:rFonts w:ascii="Arial" w:hAnsi="Arial" w:cs="Arial"/>
        </w:rPr>
        <w:t>Mr Derrick Duma</w:t>
      </w:r>
      <w:r w:rsidR="00583B5D">
        <w:rPr>
          <w:rFonts w:ascii="Arial" w:hAnsi="Arial" w:cs="Arial"/>
        </w:rPr>
        <w:t xml:space="preserve"> (“</w:t>
      </w:r>
      <w:r w:rsidR="00583B5D" w:rsidRPr="00E859EB">
        <w:rPr>
          <w:rFonts w:ascii="Arial" w:hAnsi="Arial" w:cs="Arial"/>
        </w:rPr>
        <w:t>Duma</w:t>
      </w:r>
      <w:r w:rsidR="00583B5D">
        <w:rPr>
          <w:rFonts w:ascii="Arial" w:hAnsi="Arial" w:cs="Arial"/>
        </w:rPr>
        <w:t>”)</w:t>
      </w:r>
      <w:r w:rsidR="00E859EB" w:rsidRPr="00E859EB">
        <w:rPr>
          <w:rFonts w:ascii="Arial" w:hAnsi="Arial" w:cs="Arial"/>
        </w:rPr>
        <w:t xml:space="preserve">, the </w:t>
      </w:r>
      <w:r w:rsidRPr="00E859EB">
        <w:rPr>
          <w:rFonts w:ascii="Arial" w:hAnsi="Arial" w:cs="Arial"/>
        </w:rPr>
        <w:t>Procurement Manager</w:t>
      </w:r>
      <w:r w:rsidR="00E859EB" w:rsidRPr="00E859EB">
        <w:rPr>
          <w:rFonts w:ascii="Arial" w:hAnsi="Arial" w:cs="Arial"/>
        </w:rPr>
        <w:t xml:space="preserve"> of Minova RSA (“Minova”). Minova </w:t>
      </w:r>
      <w:r w:rsidR="002C2123" w:rsidRPr="00E859EB">
        <w:rPr>
          <w:rFonts w:ascii="Arial" w:hAnsi="Arial" w:cs="Arial"/>
        </w:rPr>
        <w:t>us</w:t>
      </w:r>
      <w:r w:rsidR="002C2123">
        <w:rPr>
          <w:rFonts w:ascii="Arial" w:hAnsi="Arial" w:cs="Arial"/>
        </w:rPr>
        <w:t>es</w:t>
      </w:r>
      <w:r w:rsidR="002C2123" w:rsidRPr="00E859EB">
        <w:rPr>
          <w:rFonts w:ascii="Arial" w:hAnsi="Arial" w:cs="Arial"/>
        </w:rPr>
        <w:t xml:space="preserve"> a specialised </w:t>
      </w:r>
      <w:r w:rsidR="002C2123">
        <w:rPr>
          <w:rFonts w:ascii="Arial" w:hAnsi="Arial" w:cs="Arial"/>
        </w:rPr>
        <w:t>UPR</w:t>
      </w:r>
      <w:r w:rsidR="002C2123" w:rsidRPr="00E859EB">
        <w:rPr>
          <w:rFonts w:ascii="Arial" w:hAnsi="Arial" w:cs="Arial"/>
        </w:rPr>
        <w:t xml:space="preserve"> </w:t>
      </w:r>
      <w:r w:rsidR="002C2123">
        <w:rPr>
          <w:rFonts w:ascii="Arial" w:hAnsi="Arial" w:cs="Arial"/>
        </w:rPr>
        <w:t xml:space="preserve">to </w:t>
      </w:r>
      <w:r w:rsidR="00E859EB" w:rsidRPr="00E859EB">
        <w:rPr>
          <w:rFonts w:ascii="Arial" w:hAnsi="Arial" w:cs="Arial"/>
        </w:rPr>
        <w:t xml:space="preserve">manufacture </w:t>
      </w:r>
      <w:r w:rsidR="00E859EB" w:rsidRPr="00E859EB">
        <w:rPr>
          <w:rFonts w:ascii="Arial" w:hAnsi="Arial" w:cs="Arial"/>
          <w:i/>
        </w:rPr>
        <w:t>inter alia</w:t>
      </w:r>
      <w:r w:rsidR="00E859EB" w:rsidRPr="00E859EB">
        <w:rPr>
          <w:rFonts w:ascii="Arial" w:hAnsi="Arial" w:cs="Arial"/>
        </w:rPr>
        <w:t xml:space="preserve"> resin rock-bolting capsules used in mining.</w:t>
      </w:r>
      <w:r w:rsidR="00F36A26">
        <w:rPr>
          <w:rFonts w:ascii="Arial" w:hAnsi="Arial" w:cs="Arial"/>
        </w:rPr>
        <w:t xml:space="preserve"> Minova is the second customer </w:t>
      </w:r>
      <w:r w:rsidR="0077044C">
        <w:rPr>
          <w:rFonts w:ascii="Arial" w:hAnsi="Arial" w:cs="Arial"/>
        </w:rPr>
        <w:t xml:space="preserve">in South Africa </w:t>
      </w:r>
      <w:r w:rsidR="00F36A26">
        <w:rPr>
          <w:rFonts w:ascii="Arial" w:hAnsi="Arial" w:cs="Arial"/>
        </w:rPr>
        <w:t xml:space="preserve">of </w:t>
      </w:r>
      <w:r w:rsidR="00A741B6">
        <w:rPr>
          <w:rFonts w:ascii="Arial" w:hAnsi="Arial" w:cs="Arial"/>
        </w:rPr>
        <w:t>UPR</w:t>
      </w:r>
      <w:r w:rsidR="00F36A26">
        <w:rPr>
          <w:rFonts w:ascii="Arial" w:hAnsi="Arial" w:cs="Arial"/>
        </w:rPr>
        <w:t xml:space="preserve"> used in the </w:t>
      </w:r>
      <w:r w:rsidR="00A741B6">
        <w:rPr>
          <w:rFonts w:ascii="Arial" w:hAnsi="Arial" w:cs="Arial"/>
        </w:rPr>
        <w:t>production of encapsulated resin grouts</w:t>
      </w:r>
      <w:r w:rsidR="00F36A26">
        <w:rPr>
          <w:rFonts w:ascii="Arial" w:hAnsi="Arial" w:cs="Arial"/>
        </w:rPr>
        <w:t>.</w:t>
      </w:r>
    </w:p>
    <w:p w:rsidR="00197BC3" w:rsidRPr="00197BC3" w:rsidRDefault="007D6EF9" w:rsidP="0080582B">
      <w:pPr>
        <w:pStyle w:val="ListParagraph"/>
        <w:numPr>
          <w:ilvl w:val="1"/>
          <w:numId w:val="2"/>
        </w:numPr>
        <w:spacing w:after="240" w:line="360" w:lineRule="auto"/>
        <w:jc w:val="both"/>
        <w:rPr>
          <w:rFonts w:ascii="Arial" w:hAnsi="Arial" w:cs="Arial"/>
        </w:rPr>
      </w:pPr>
      <w:r w:rsidRPr="00197BC3">
        <w:rPr>
          <w:rFonts w:ascii="Arial" w:hAnsi="Arial" w:cs="Arial"/>
        </w:rPr>
        <w:t>Mr Badruldien Mohamed Yunus</w:t>
      </w:r>
      <w:r w:rsidR="00583B5D">
        <w:rPr>
          <w:rFonts w:ascii="Arial" w:hAnsi="Arial" w:cs="Arial"/>
        </w:rPr>
        <w:t xml:space="preserve"> (“</w:t>
      </w:r>
      <w:r w:rsidR="00583B5D" w:rsidRPr="00197BC3">
        <w:rPr>
          <w:rFonts w:ascii="Arial" w:hAnsi="Arial" w:cs="Arial"/>
        </w:rPr>
        <w:t>Yunus</w:t>
      </w:r>
      <w:r w:rsidR="00583B5D">
        <w:rPr>
          <w:rFonts w:ascii="Arial" w:hAnsi="Arial" w:cs="Arial"/>
        </w:rPr>
        <w:t>”)</w:t>
      </w:r>
      <w:r w:rsidR="00FE4ADD" w:rsidRPr="00197BC3">
        <w:rPr>
          <w:rFonts w:ascii="Arial" w:hAnsi="Arial" w:cs="Arial"/>
        </w:rPr>
        <w:t xml:space="preserve">, </w:t>
      </w:r>
      <w:r w:rsidR="00197BC3" w:rsidRPr="00197BC3">
        <w:rPr>
          <w:rFonts w:ascii="Arial" w:hAnsi="Arial" w:cs="Arial"/>
        </w:rPr>
        <w:t>a</w:t>
      </w:r>
      <w:r w:rsidRPr="00197BC3">
        <w:rPr>
          <w:rFonts w:ascii="Arial" w:hAnsi="Arial" w:cs="Arial"/>
        </w:rPr>
        <w:t xml:space="preserve"> </w:t>
      </w:r>
      <w:r w:rsidR="00FE4ADD" w:rsidRPr="00197BC3">
        <w:rPr>
          <w:rFonts w:ascii="Arial" w:hAnsi="Arial" w:cs="Arial"/>
        </w:rPr>
        <w:t xml:space="preserve">Joint Managing Director </w:t>
      </w:r>
      <w:r w:rsidRPr="00197BC3">
        <w:rPr>
          <w:rFonts w:ascii="Arial" w:hAnsi="Arial" w:cs="Arial"/>
        </w:rPr>
        <w:t>of Scott Bader Company Limited (</w:t>
      </w:r>
      <w:r w:rsidR="00FE4ADD" w:rsidRPr="00197BC3">
        <w:rPr>
          <w:rFonts w:ascii="Arial" w:hAnsi="Arial" w:cs="Arial"/>
        </w:rPr>
        <w:t>“Scott Bader”</w:t>
      </w:r>
      <w:r w:rsidRPr="00197BC3">
        <w:rPr>
          <w:rFonts w:ascii="Arial" w:hAnsi="Arial" w:cs="Arial"/>
        </w:rPr>
        <w:t>)</w:t>
      </w:r>
      <w:r w:rsidR="00197BC3" w:rsidRPr="00197BC3">
        <w:rPr>
          <w:rFonts w:ascii="Arial" w:hAnsi="Arial" w:cs="Arial"/>
        </w:rPr>
        <w:t>. Scott Bader manufactures a wide range of products for the composite industry including UPR</w:t>
      </w:r>
      <w:r w:rsidR="002C2123">
        <w:rPr>
          <w:rFonts w:ascii="Arial" w:hAnsi="Arial" w:cs="Arial"/>
        </w:rPr>
        <w:t>s</w:t>
      </w:r>
      <w:r w:rsidR="00197BC3" w:rsidRPr="00197BC3">
        <w:rPr>
          <w:rFonts w:ascii="Arial" w:hAnsi="Arial" w:cs="Arial"/>
        </w:rPr>
        <w:t xml:space="preserve"> and </w:t>
      </w:r>
      <w:r w:rsidR="002863F0" w:rsidRPr="00197BC3">
        <w:rPr>
          <w:rFonts w:ascii="Arial" w:hAnsi="Arial" w:cs="Arial"/>
        </w:rPr>
        <w:t>gel coats</w:t>
      </w:r>
      <w:r w:rsidR="00197BC3" w:rsidRPr="00197BC3">
        <w:rPr>
          <w:rFonts w:ascii="Arial" w:hAnsi="Arial" w:cs="Arial"/>
        </w:rPr>
        <w:t>. Its manufacturing site is located in Hammarsdale</w:t>
      </w:r>
      <w:r w:rsidR="00197BC3">
        <w:rPr>
          <w:rFonts w:ascii="Arial" w:hAnsi="Arial" w:cs="Arial"/>
        </w:rPr>
        <w:t xml:space="preserve"> in KwaZulu-Natal.</w:t>
      </w:r>
      <w:r w:rsidR="00FE75D8">
        <w:rPr>
          <w:rFonts w:ascii="Arial" w:hAnsi="Arial" w:cs="Arial"/>
        </w:rPr>
        <w:t xml:space="preserve"> It is one of four producers of UPR </w:t>
      </w:r>
      <w:r w:rsidR="0077044C">
        <w:rPr>
          <w:rFonts w:ascii="Arial" w:hAnsi="Arial" w:cs="Arial"/>
        </w:rPr>
        <w:t>in South Africa</w:t>
      </w:r>
      <w:r w:rsidR="00FE75D8">
        <w:rPr>
          <w:rFonts w:ascii="Arial" w:hAnsi="Arial" w:cs="Arial"/>
        </w:rPr>
        <w:t>.</w:t>
      </w:r>
    </w:p>
    <w:p w:rsidR="00920909" w:rsidRPr="00920909" w:rsidRDefault="007D6EF9" w:rsidP="0080582B">
      <w:pPr>
        <w:pStyle w:val="ListParagraph"/>
        <w:numPr>
          <w:ilvl w:val="1"/>
          <w:numId w:val="2"/>
        </w:numPr>
        <w:spacing w:after="240" w:line="360" w:lineRule="auto"/>
        <w:jc w:val="both"/>
        <w:rPr>
          <w:rFonts w:ascii="Arial" w:hAnsi="Arial" w:cs="Arial"/>
        </w:rPr>
      </w:pPr>
      <w:r w:rsidRPr="00920909">
        <w:rPr>
          <w:rFonts w:ascii="Arial" w:hAnsi="Arial" w:cs="Arial"/>
        </w:rPr>
        <w:t>Mr Stephen Beal</w:t>
      </w:r>
      <w:r w:rsidR="00583B5D">
        <w:rPr>
          <w:rFonts w:ascii="Arial" w:hAnsi="Arial" w:cs="Arial"/>
        </w:rPr>
        <w:t xml:space="preserve"> (“</w:t>
      </w:r>
      <w:r w:rsidR="00583B5D" w:rsidRPr="00920909">
        <w:rPr>
          <w:rFonts w:ascii="Arial" w:hAnsi="Arial" w:cs="Arial"/>
        </w:rPr>
        <w:t>Beal</w:t>
      </w:r>
      <w:r w:rsidR="00583B5D">
        <w:rPr>
          <w:rFonts w:ascii="Arial" w:hAnsi="Arial" w:cs="Arial"/>
        </w:rPr>
        <w:t>”)</w:t>
      </w:r>
      <w:r w:rsidR="00920909" w:rsidRPr="00920909">
        <w:rPr>
          <w:rFonts w:ascii="Arial" w:hAnsi="Arial" w:cs="Arial"/>
        </w:rPr>
        <w:t>, the Managing Director of ADD Resins and Chemicals (Pty) Ltd (“ADD Resins”). ADD Resins supplies</w:t>
      </w:r>
      <w:r w:rsidR="00820883">
        <w:rPr>
          <w:rFonts w:ascii="Arial" w:hAnsi="Arial" w:cs="Arial"/>
        </w:rPr>
        <w:t xml:space="preserve"> </w:t>
      </w:r>
      <w:r w:rsidR="00820883" w:rsidRPr="00820883">
        <w:rPr>
          <w:rFonts w:ascii="Arial" w:hAnsi="Arial" w:cs="Arial"/>
          <w:i/>
        </w:rPr>
        <w:t>inter alia</w:t>
      </w:r>
      <w:r w:rsidR="00820883">
        <w:rPr>
          <w:rFonts w:ascii="Arial" w:hAnsi="Arial" w:cs="Arial"/>
        </w:rPr>
        <w:t xml:space="preserve"> </w:t>
      </w:r>
      <w:r w:rsidR="00920909" w:rsidRPr="00920909">
        <w:rPr>
          <w:rFonts w:ascii="Arial" w:hAnsi="Arial" w:cs="Arial"/>
        </w:rPr>
        <w:t>UPR products mainly to the construction, transport, sanitary ware and swimming pool manufacturing industries.</w:t>
      </w:r>
      <w:r w:rsidR="00F36A26">
        <w:rPr>
          <w:rFonts w:ascii="Arial" w:hAnsi="Arial" w:cs="Arial"/>
        </w:rPr>
        <w:t xml:space="preserve"> </w:t>
      </w:r>
      <w:r w:rsidR="00FE75D8">
        <w:rPr>
          <w:rFonts w:ascii="Arial" w:hAnsi="Arial" w:cs="Arial"/>
        </w:rPr>
        <w:t xml:space="preserve">ADD </w:t>
      </w:r>
      <w:r w:rsidR="0077044C">
        <w:rPr>
          <w:rFonts w:ascii="Arial" w:hAnsi="Arial" w:cs="Arial"/>
        </w:rPr>
        <w:t xml:space="preserve">Resins </w:t>
      </w:r>
      <w:r w:rsidR="00FE75D8">
        <w:rPr>
          <w:rFonts w:ascii="Arial" w:hAnsi="Arial" w:cs="Arial"/>
        </w:rPr>
        <w:t xml:space="preserve">imports resin </w:t>
      </w:r>
      <w:r w:rsidR="0077044C">
        <w:rPr>
          <w:rFonts w:ascii="Arial" w:hAnsi="Arial" w:cs="Arial"/>
        </w:rPr>
        <w:t>and also buys UPR locally</w:t>
      </w:r>
      <w:r w:rsidR="00FE75D8">
        <w:rPr>
          <w:rFonts w:ascii="Arial" w:hAnsi="Arial" w:cs="Arial"/>
        </w:rPr>
        <w:t>.</w:t>
      </w:r>
    </w:p>
    <w:p w:rsidR="000919D9" w:rsidRPr="000919D9" w:rsidRDefault="007D6EF9" w:rsidP="0080582B">
      <w:pPr>
        <w:pStyle w:val="ListParagraph"/>
        <w:numPr>
          <w:ilvl w:val="1"/>
          <w:numId w:val="2"/>
        </w:numPr>
        <w:spacing w:after="240" w:line="360" w:lineRule="auto"/>
        <w:jc w:val="both"/>
        <w:rPr>
          <w:rFonts w:ascii="Arial" w:hAnsi="Arial" w:cs="Arial"/>
        </w:rPr>
      </w:pPr>
      <w:r w:rsidRPr="000919D9">
        <w:rPr>
          <w:rFonts w:ascii="Arial" w:hAnsi="Arial" w:cs="Arial"/>
        </w:rPr>
        <w:t>Mr Damocles Loukidis</w:t>
      </w:r>
      <w:r w:rsidR="00583B5D">
        <w:rPr>
          <w:rFonts w:ascii="Arial" w:hAnsi="Arial" w:cs="Arial"/>
        </w:rPr>
        <w:t xml:space="preserve"> (“</w:t>
      </w:r>
      <w:r w:rsidR="00583B5D" w:rsidRPr="000919D9">
        <w:rPr>
          <w:rFonts w:ascii="Arial" w:hAnsi="Arial" w:cs="Arial"/>
        </w:rPr>
        <w:t>Loukidis</w:t>
      </w:r>
      <w:r w:rsidR="00583B5D">
        <w:rPr>
          <w:rFonts w:ascii="Arial" w:hAnsi="Arial" w:cs="Arial"/>
        </w:rPr>
        <w:t>”)</w:t>
      </w:r>
      <w:r w:rsidR="00D76477" w:rsidRPr="000919D9">
        <w:rPr>
          <w:rFonts w:ascii="Arial" w:hAnsi="Arial" w:cs="Arial"/>
        </w:rPr>
        <w:t>,</w:t>
      </w:r>
      <w:r w:rsidRPr="000919D9">
        <w:rPr>
          <w:rFonts w:ascii="Arial" w:hAnsi="Arial" w:cs="Arial"/>
        </w:rPr>
        <w:t xml:space="preserve"> </w:t>
      </w:r>
      <w:r w:rsidR="00D76477" w:rsidRPr="000919D9">
        <w:rPr>
          <w:rFonts w:ascii="Arial" w:hAnsi="Arial"/>
        </w:rPr>
        <w:t xml:space="preserve">the </w:t>
      </w:r>
      <w:r w:rsidR="00B97CA8">
        <w:rPr>
          <w:rFonts w:ascii="Arial" w:hAnsi="Arial"/>
        </w:rPr>
        <w:t xml:space="preserve">former </w:t>
      </w:r>
      <w:r w:rsidR="00D76477" w:rsidRPr="000919D9">
        <w:rPr>
          <w:rFonts w:ascii="Arial" w:hAnsi="Arial"/>
        </w:rPr>
        <w:t>Managing Director of Niser Composites (Pty) Ltd</w:t>
      </w:r>
      <w:r w:rsidR="00E77BBF">
        <w:rPr>
          <w:rFonts w:ascii="Arial" w:hAnsi="Arial"/>
        </w:rPr>
        <w:t xml:space="preserve"> (“Niser”)</w:t>
      </w:r>
      <w:r w:rsidR="00D76477" w:rsidRPr="000919D9">
        <w:rPr>
          <w:rFonts w:ascii="Arial" w:hAnsi="Arial"/>
        </w:rPr>
        <w:t>.</w:t>
      </w:r>
      <w:r w:rsidR="00174940" w:rsidRPr="000919D9">
        <w:rPr>
          <w:rFonts w:ascii="Arial" w:hAnsi="Arial"/>
        </w:rPr>
        <w:t xml:space="preserve"> Niser was established in May 2002 and has recently integrated with ADD Resins. </w:t>
      </w:r>
      <w:r w:rsidR="00174940" w:rsidRPr="000919D9">
        <w:rPr>
          <w:rFonts w:ascii="Arial" w:hAnsi="Arial" w:cs="Arial"/>
        </w:rPr>
        <w:t>Loukidis</w:t>
      </w:r>
      <w:r w:rsidR="00174940" w:rsidRPr="000919D9">
        <w:rPr>
          <w:rFonts w:ascii="Arial" w:hAnsi="Arial"/>
        </w:rPr>
        <w:t xml:space="preserve"> is currently in a management position at ADD Resins.</w:t>
      </w:r>
      <w:r w:rsidR="00174940">
        <w:rPr>
          <w:rStyle w:val="FootnoteReference"/>
          <w:rFonts w:ascii="Arial" w:hAnsi="Arial"/>
        </w:rPr>
        <w:footnoteReference w:id="8"/>
      </w:r>
      <w:r w:rsidR="000919D9" w:rsidRPr="000919D9">
        <w:rPr>
          <w:rFonts w:ascii="Arial" w:hAnsi="Arial"/>
        </w:rPr>
        <w:t xml:space="preserve"> </w:t>
      </w:r>
      <w:r w:rsidR="000919D9" w:rsidRPr="000919D9">
        <w:rPr>
          <w:rFonts w:ascii="Arial" w:hAnsi="Arial" w:cs="Arial"/>
        </w:rPr>
        <w:t>Niser</w:t>
      </w:r>
      <w:r w:rsidR="007F705D">
        <w:rPr>
          <w:rFonts w:ascii="Arial" w:hAnsi="Arial" w:cs="Arial"/>
        </w:rPr>
        <w:t xml:space="preserve">, which has since exited the market, used to </w:t>
      </w:r>
      <w:r w:rsidR="000919D9" w:rsidRPr="000919D9">
        <w:rPr>
          <w:rFonts w:ascii="Arial" w:hAnsi="Arial" w:cs="Arial"/>
        </w:rPr>
        <w:t>import various products including UPR for the fibreglass industry.</w:t>
      </w:r>
    </w:p>
    <w:p w:rsidR="007D6EF9" w:rsidRPr="00A24E8C" w:rsidRDefault="007D6EF9" w:rsidP="0080582B">
      <w:pPr>
        <w:pStyle w:val="ListParagraph"/>
        <w:numPr>
          <w:ilvl w:val="1"/>
          <w:numId w:val="2"/>
        </w:numPr>
        <w:spacing w:after="240" w:line="360" w:lineRule="auto"/>
        <w:jc w:val="both"/>
        <w:rPr>
          <w:rFonts w:ascii="Arial" w:hAnsi="Arial" w:cs="Arial"/>
        </w:rPr>
      </w:pPr>
      <w:r w:rsidRPr="00A24E8C">
        <w:rPr>
          <w:rFonts w:ascii="Arial" w:hAnsi="Arial" w:cs="Arial"/>
        </w:rPr>
        <w:t>Mr Garry Coady</w:t>
      </w:r>
      <w:r w:rsidR="00583B5D">
        <w:rPr>
          <w:rFonts w:ascii="Arial" w:hAnsi="Arial" w:cs="Arial"/>
        </w:rPr>
        <w:t xml:space="preserve"> (“</w:t>
      </w:r>
      <w:r w:rsidR="00583B5D" w:rsidRPr="00A24E8C">
        <w:rPr>
          <w:rFonts w:ascii="Arial" w:hAnsi="Arial" w:cs="Arial"/>
        </w:rPr>
        <w:t>Coady</w:t>
      </w:r>
      <w:r w:rsidR="00583B5D">
        <w:rPr>
          <w:rFonts w:ascii="Arial" w:hAnsi="Arial" w:cs="Arial"/>
        </w:rPr>
        <w:t>”)</w:t>
      </w:r>
      <w:r w:rsidR="00A24E8C" w:rsidRPr="00A24E8C">
        <w:rPr>
          <w:rFonts w:ascii="Arial" w:hAnsi="Arial" w:cs="Arial"/>
        </w:rPr>
        <w:t>, the</w:t>
      </w:r>
      <w:r w:rsidRPr="00A24E8C">
        <w:rPr>
          <w:rFonts w:ascii="Arial" w:hAnsi="Arial" w:cs="Arial"/>
        </w:rPr>
        <w:t xml:space="preserve"> </w:t>
      </w:r>
      <w:r w:rsidR="00A24E8C" w:rsidRPr="00A24E8C">
        <w:rPr>
          <w:rFonts w:ascii="Arial" w:hAnsi="Arial" w:cs="Arial"/>
        </w:rPr>
        <w:t xml:space="preserve">Managing Director </w:t>
      </w:r>
      <w:r w:rsidRPr="00A24E8C">
        <w:rPr>
          <w:rFonts w:ascii="Arial" w:hAnsi="Arial" w:cs="Arial"/>
        </w:rPr>
        <w:t xml:space="preserve">of Profibre Products (Pty) Ltd </w:t>
      </w:r>
      <w:r w:rsidR="00A24E8C" w:rsidRPr="00A24E8C">
        <w:rPr>
          <w:rFonts w:ascii="Arial" w:hAnsi="Arial" w:cs="Arial"/>
        </w:rPr>
        <w:t xml:space="preserve">(“Profibre”). Profibre uses UPR in the manufacture of fibreglass products such as exterior and interior parts for trucks and busses. </w:t>
      </w:r>
      <w:r w:rsidR="00FC2188">
        <w:rPr>
          <w:rFonts w:ascii="Arial" w:hAnsi="Arial" w:cs="Arial"/>
        </w:rPr>
        <w:t>More specifically, it</w:t>
      </w:r>
      <w:r w:rsidR="00FC2188" w:rsidRPr="00A24E8C">
        <w:rPr>
          <w:rFonts w:ascii="Arial" w:hAnsi="Arial" w:cs="Arial"/>
        </w:rPr>
        <w:t xml:space="preserve"> utilises a general purpose UPR of a slightly higher standard and customised to the needs of specific customers by, for example, adding pigments to gel coats in </w:t>
      </w:r>
      <w:r w:rsidR="00FC2188" w:rsidRPr="00A24E8C">
        <w:rPr>
          <w:rFonts w:ascii="Arial" w:hAnsi="Arial" w:cs="Arial"/>
        </w:rPr>
        <w:lastRenderedPageBreak/>
        <w:t>order to create specific colours.</w:t>
      </w:r>
      <w:r w:rsidR="00FC2188">
        <w:rPr>
          <w:rStyle w:val="FootnoteReference"/>
          <w:rFonts w:ascii="Arial" w:hAnsi="Arial" w:cs="Arial"/>
        </w:rPr>
        <w:footnoteReference w:id="9"/>
      </w:r>
      <w:r w:rsidR="00FC2188" w:rsidRPr="00A24E8C">
        <w:rPr>
          <w:rFonts w:ascii="Arial" w:hAnsi="Arial" w:cs="Arial"/>
        </w:rPr>
        <w:t xml:space="preserve"> </w:t>
      </w:r>
      <w:r w:rsidRPr="00A24E8C">
        <w:rPr>
          <w:rFonts w:ascii="Arial" w:hAnsi="Arial" w:cs="Arial"/>
        </w:rPr>
        <w:t xml:space="preserve">Profibre’s main customers are blue chip automotive customers at the Original Equipment </w:t>
      </w:r>
      <w:r w:rsidR="00613140" w:rsidRPr="00A24E8C">
        <w:rPr>
          <w:rFonts w:ascii="Arial" w:hAnsi="Arial" w:cs="Arial"/>
        </w:rPr>
        <w:t>Manufacturing level</w:t>
      </w:r>
      <w:r w:rsidRPr="00A24E8C">
        <w:rPr>
          <w:rFonts w:ascii="Arial" w:hAnsi="Arial" w:cs="Arial"/>
        </w:rPr>
        <w:t>.</w:t>
      </w:r>
      <w:r>
        <w:rPr>
          <w:rStyle w:val="FootnoteReference"/>
          <w:rFonts w:ascii="Arial" w:hAnsi="Arial" w:cs="Arial"/>
        </w:rPr>
        <w:footnoteReference w:id="10"/>
      </w:r>
      <w:r w:rsidRPr="00A24E8C">
        <w:rPr>
          <w:rFonts w:ascii="Arial" w:hAnsi="Arial" w:cs="Arial"/>
        </w:rPr>
        <w:t xml:space="preserve"> </w:t>
      </w:r>
    </w:p>
    <w:p w:rsidR="00FE75D8" w:rsidRDefault="007D6EF9" w:rsidP="00FE75D8">
      <w:pPr>
        <w:pStyle w:val="ListParagraph"/>
        <w:numPr>
          <w:ilvl w:val="1"/>
          <w:numId w:val="2"/>
        </w:numPr>
        <w:spacing w:after="240" w:line="360" w:lineRule="auto"/>
        <w:jc w:val="both"/>
        <w:rPr>
          <w:rFonts w:ascii="Arial" w:hAnsi="Arial" w:cs="Arial"/>
        </w:rPr>
      </w:pPr>
      <w:r w:rsidRPr="0050646B">
        <w:rPr>
          <w:rFonts w:ascii="Arial" w:hAnsi="Arial" w:cs="Arial"/>
        </w:rPr>
        <w:t>Mr Derek Jean du Plessis</w:t>
      </w:r>
      <w:r w:rsidR="00583B5D">
        <w:rPr>
          <w:rFonts w:ascii="Arial" w:hAnsi="Arial" w:cs="Arial"/>
        </w:rPr>
        <w:t xml:space="preserve"> (“D</w:t>
      </w:r>
      <w:r w:rsidR="00583B5D" w:rsidRPr="0050646B">
        <w:rPr>
          <w:rFonts w:ascii="Arial" w:hAnsi="Arial" w:cs="Arial"/>
        </w:rPr>
        <w:t>u Plessis</w:t>
      </w:r>
      <w:r w:rsidR="00583B5D">
        <w:rPr>
          <w:rFonts w:ascii="Arial" w:hAnsi="Arial" w:cs="Arial"/>
        </w:rPr>
        <w:t>”)</w:t>
      </w:r>
      <w:r w:rsidR="0050646B" w:rsidRPr="0050646B">
        <w:rPr>
          <w:rFonts w:ascii="Arial" w:hAnsi="Arial" w:cs="Arial"/>
        </w:rPr>
        <w:t>, a</w:t>
      </w:r>
      <w:r w:rsidRPr="0050646B">
        <w:rPr>
          <w:rFonts w:ascii="Arial" w:hAnsi="Arial" w:cs="Arial"/>
        </w:rPr>
        <w:t xml:space="preserve"> </w:t>
      </w:r>
      <w:r w:rsidR="0050646B" w:rsidRPr="0050646B">
        <w:rPr>
          <w:rFonts w:ascii="Arial" w:hAnsi="Arial" w:cs="Arial"/>
        </w:rPr>
        <w:t xml:space="preserve">Managing Member </w:t>
      </w:r>
      <w:r w:rsidRPr="0050646B">
        <w:rPr>
          <w:rFonts w:ascii="Arial" w:hAnsi="Arial" w:cs="Arial"/>
        </w:rPr>
        <w:t>of Swim Spa CC t/a Poolmate</w:t>
      </w:r>
      <w:r w:rsidR="0050646B" w:rsidRPr="0050646B">
        <w:rPr>
          <w:rFonts w:ascii="Arial" w:hAnsi="Arial" w:cs="Arial"/>
        </w:rPr>
        <w:t xml:space="preserve"> (“Swim Spa”).</w:t>
      </w:r>
      <w:r w:rsidRPr="0050646B">
        <w:rPr>
          <w:rFonts w:ascii="Arial" w:hAnsi="Arial" w:cs="Arial"/>
        </w:rPr>
        <w:t xml:space="preserve"> </w:t>
      </w:r>
      <w:r w:rsidR="0050646B" w:rsidRPr="0050646B">
        <w:rPr>
          <w:rFonts w:ascii="Arial" w:hAnsi="Arial" w:cs="Arial"/>
        </w:rPr>
        <w:t xml:space="preserve">Swim Spa is a manufacturer of pre-moulded fibreglass pools </w:t>
      </w:r>
      <w:r w:rsidR="00E77BBF">
        <w:rPr>
          <w:rFonts w:ascii="Arial" w:hAnsi="Arial" w:cs="Arial"/>
        </w:rPr>
        <w:t xml:space="preserve">and is </w:t>
      </w:r>
      <w:r w:rsidR="0050646B" w:rsidRPr="0050646B">
        <w:rPr>
          <w:rFonts w:ascii="Arial" w:hAnsi="Arial" w:cs="Arial"/>
        </w:rPr>
        <w:t xml:space="preserve">based in Pretoria, Gauteng. Swim Spa includes the </w:t>
      </w:r>
      <w:r w:rsidR="0050646B" w:rsidRPr="00B97CA8">
        <w:rPr>
          <w:rFonts w:ascii="Arial" w:hAnsi="Arial" w:cs="Arial"/>
          <w:i/>
        </w:rPr>
        <w:t>Penguin</w:t>
      </w:r>
      <w:r w:rsidR="0050646B" w:rsidRPr="0050646B">
        <w:rPr>
          <w:rFonts w:ascii="Arial" w:hAnsi="Arial" w:cs="Arial"/>
        </w:rPr>
        <w:t xml:space="preserve">, </w:t>
      </w:r>
      <w:r w:rsidR="0050646B" w:rsidRPr="00B97CA8">
        <w:rPr>
          <w:rFonts w:ascii="Arial" w:hAnsi="Arial" w:cs="Arial"/>
          <w:i/>
        </w:rPr>
        <w:t>Clearwater</w:t>
      </w:r>
      <w:r w:rsidR="0050646B" w:rsidRPr="0050646B">
        <w:rPr>
          <w:rFonts w:ascii="Arial" w:hAnsi="Arial" w:cs="Arial"/>
        </w:rPr>
        <w:t xml:space="preserve"> and </w:t>
      </w:r>
      <w:r w:rsidR="0050646B" w:rsidRPr="00B97CA8">
        <w:rPr>
          <w:rFonts w:ascii="Arial" w:hAnsi="Arial" w:cs="Arial"/>
          <w:i/>
        </w:rPr>
        <w:t>Leisure</w:t>
      </w:r>
      <w:r w:rsidR="0050646B" w:rsidRPr="0050646B">
        <w:rPr>
          <w:rFonts w:ascii="Arial" w:hAnsi="Arial" w:cs="Arial"/>
        </w:rPr>
        <w:t xml:space="preserve"> brands.</w:t>
      </w:r>
      <w:r w:rsidR="00FE75D8">
        <w:rPr>
          <w:rFonts w:ascii="Arial" w:hAnsi="Arial" w:cs="Arial"/>
        </w:rPr>
        <w:t xml:space="preserve"> </w:t>
      </w:r>
    </w:p>
    <w:p w:rsidR="00731425" w:rsidRPr="00374F56" w:rsidRDefault="007D6EF9" w:rsidP="00374F56">
      <w:pPr>
        <w:pStyle w:val="ListParagraph"/>
        <w:numPr>
          <w:ilvl w:val="1"/>
          <w:numId w:val="2"/>
        </w:numPr>
        <w:spacing w:after="240" w:line="360" w:lineRule="auto"/>
        <w:jc w:val="both"/>
        <w:rPr>
          <w:rFonts w:ascii="Arial" w:hAnsi="Arial" w:cs="Arial"/>
        </w:rPr>
      </w:pPr>
      <w:r w:rsidRPr="00374F56">
        <w:rPr>
          <w:rFonts w:ascii="Arial" w:hAnsi="Arial" w:cs="Arial"/>
        </w:rPr>
        <w:t>Mr Desmond Beemiah</w:t>
      </w:r>
      <w:r w:rsidR="00583B5D" w:rsidRPr="00374F56">
        <w:rPr>
          <w:rFonts w:ascii="Arial" w:hAnsi="Arial" w:cs="Arial"/>
        </w:rPr>
        <w:t xml:space="preserve"> (“Beemiah”)</w:t>
      </w:r>
      <w:r w:rsidR="007035F6" w:rsidRPr="00374F56">
        <w:rPr>
          <w:rFonts w:ascii="Arial" w:hAnsi="Arial" w:cs="Arial"/>
        </w:rPr>
        <w:t xml:space="preserve">, the Chief Executive Officer of Gold Reef Speciality Chemicals (Pty) Ltd (“Gold Reef”). </w:t>
      </w:r>
      <w:r w:rsidR="00640381" w:rsidRPr="00374F56">
        <w:rPr>
          <w:rFonts w:ascii="Arial" w:hAnsi="Arial" w:cs="Arial"/>
        </w:rPr>
        <w:t>Gold Reef</w:t>
      </w:r>
      <w:r w:rsidR="00AD0C86" w:rsidRPr="00374F56">
        <w:rPr>
          <w:rFonts w:ascii="Arial" w:hAnsi="Arial" w:cs="Arial"/>
        </w:rPr>
        <w:t>,</w:t>
      </w:r>
      <w:r w:rsidR="00640381" w:rsidRPr="00374F56">
        <w:rPr>
          <w:rFonts w:ascii="Arial" w:hAnsi="Arial" w:cs="Arial"/>
        </w:rPr>
        <w:t xml:space="preserve"> </w:t>
      </w:r>
      <w:r w:rsidR="00AD0C86" w:rsidRPr="00374F56">
        <w:rPr>
          <w:rFonts w:ascii="Arial" w:hAnsi="Arial" w:cs="Arial"/>
        </w:rPr>
        <w:t xml:space="preserve">based in Isipingo, KwaZulu-Natal, </w:t>
      </w:r>
      <w:r w:rsidR="00640381" w:rsidRPr="00374F56">
        <w:rPr>
          <w:rFonts w:ascii="Arial" w:hAnsi="Arial" w:cs="Arial"/>
        </w:rPr>
        <w:t>is a manufacturer of emulsions</w:t>
      </w:r>
      <w:r w:rsidR="007035F6" w:rsidRPr="00374F56">
        <w:rPr>
          <w:rFonts w:ascii="Arial" w:hAnsi="Arial" w:cs="Arial"/>
        </w:rPr>
        <w:t>.</w:t>
      </w:r>
      <w:r w:rsidR="00640381" w:rsidRPr="00374F56">
        <w:rPr>
          <w:rFonts w:ascii="Arial" w:hAnsi="Arial" w:cs="Arial"/>
        </w:rPr>
        <w:t xml:space="preserve"> Its product range supplies the paint, adhesives, water treatment, carpet, detergent and textile industries.</w:t>
      </w:r>
      <w:r w:rsidR="00731425" w:rsidRPr="00374F56">
        <w:rPr>
          <w:rFonts w:ascii="Arial" w:hAnsi="Arial" w:cs="Arial"/>
        </w:rPr>
        <w:t xml:space="preserve"> </w:t>
      </w:r>
    </w:p>
    <w:p w:rsidR="00F81470" w:rsidRDefault="00500623">
      <w:pPr>
        <w:pStyle w:val="ListParagraph"/>
        <w:numPr>
          <w:ilvl w:val="1"/>
          <w:numId w:val="2"/>
        </w:numPr>
        <w:spacing w:after="240" w:line="360" w:lineRule="auto"/>
        <w:jc w:val="both"/>
        <w:rPr>
          <w:rFonts w:ascii="Arial" w:hAnsi="Arial" w:cs="Arial"/>
        </w:rPr>
      </w:pPr>
      <w:r w:rsidRPr="00500623">
        <w:rPr>
          <w:rFonts w:ascii="Arial" w:hAnsi="Arial" w:cs="Arial"/>
        </w:rPr>
        <w:t xml:space="preserve">We note that </w:t>
      </w:r>
      <w:r w:rsidR="00C700F3">
        <w:rPr>
          <w:rFonts w:ascii="Arial" w:hAnsi="Arial" w:cs="Arial"/>
        </w:rPr>
        <w:t>[...]</w:t>
      </w:r>
      <w:r w:rsidRPr="00500623">
        <w:rPr>
          <w:rFonts w:ascii="Arial" w:hAnsi="Arial" w:cs="Arial"/>
        </w:rPr>
        <w:t xml:space="preserve"> made a non-binding indicative offer to purchase the entire business of Arkema SA, including its distribution subsidiary Harveys, on 27 August 2013, which offer was rejected by Arkema in favour of Ferro's offer (also see paragraph 67 below). </w:t>
      </w:r>
    </w:p>
    <w:p w:rsidR="00737E6A" w:rsidRPr="00737E6A" w:rsidRDefault="007D6EF9" w:rsidP="0080582B">
      <w:pPr>
        <w:pStyle w:val="ListParagraph"/>
        <w:numPr>
          <w:ilvl w:val="1"/>
          <w:numId w:val="2"/>
        </w:numPr>
        <w:spacing w:after="240" w:line="360" w:lineRule="auto"/>
        <w:jc w:val="both"/>
        <w:rPr>
          <w:rFonts w:ascii="Arial" w:hAnsi="Arial" w:cs="Arial"/>
        </w:rPr>
      </w:pPr>
      <w:r w:rsidRPr="00737E6A">
        <w:rPr>
          <w:rFonts w:ascii="Arial" w:hAnsi="Arial" w:cs="Arial"/>
        </w:rPr>
        <w:t>Mr Mahomed Akhtar Moosa</w:t>
      </w:r>
      <w:r w:rsidR="00731425">
        <w:rPr>
          <w:rFonts w:ascii="Arial" w:hAnsi="Arial" w:cs="Arial"/>
        </w:rPr>
        <w:t xml:space="preserve"> (“</w:t>
      </w:r>
      <w:r w:rsidR="00731425" w:rsidRPr="00737E6A">
        <w:rPr>
          <w:rFonts w:ascii="Arial" w:hAnsi="Arial" w:cs="Arial"/>
        </w:rPr>
        <w:t>Moosa</w:t>
      </w:r>
      <w:r w:rsidR="00731425">
        <w:rPr>
          <w:rFonts w:ascii="Arial" w:hAnsi="Arial" w:cs="Arial"/>
        </w:rPr>
        <w:t>”)</w:t>
      </w:r>
      <w:r w:rsidR="00FD1781" w:rsidRPr="00737E6A">
        <w:rPr>
          <w:rFonts w:ascii="Arial" w:hAnsi="Arial" w:cs="Arial"/>
        </w:rPr>
        <w:t>,</w:t>
      </w:r>
      <w:r w:rsidRPr="00737E6A">
        <w:rPr>
          <w:rFonts w:ascii="Arial" w:hAnsi="Arial" w:cs="Arial"/>
        </w:rPr>
        <w:t xml:space="preserve"> </w:t>
      </w:r>
      <w:r w:rsidR="00FD1781" w:rsidRPr="00737E6A">
        <w:rPr>
          <w:rFonts w:ascii="Arial" w:hAnsi="Arial" w:cs="Arial"/>
        </w:rPr>
        <w:t xml:space="preserve">the Chief Executive Officer of KZN Resins (Pty) Ltd (“KZN Resins”). </w:t>
      </w:r>
      <w:r w:rsidR="00737E6A" w:rsidRPr="00737E6A">
        <w:rPr>
          <w:rFonts w:ascii="Arial" w:hAnsi="Arial" w:cs="Arial"/>
        </w:rPr>
        <w:t xml:space="preserve">KZN Resins is </w:t>
      </w:r>
      <w:r w:rsidR="00FE75D8">
        <w:rPr>
          <w:rFonts w:ascii="Arial" w:hAnsi="Arial" w:cs="Arial"/>
        </w:rPr>
        <w:t xml:space="preserve">one of four local </w:t>
      </w:r>
      <w:r w:rsidR="00737E6A" w:rsidRPr="00737E6A">
        <w:rPr>
          <w:rFonts w:ascii="Arial" w:hAnsi="Arial" w:cs="Arial"/>
        </w:rPr>
        <w:t>UPR producer</w:t>
      </w:r>
      <w:r w:rsidR="00FE75D8">
        <w:rPr>
          <w:rFonts w:ascii="Arial" w:hAnsi="Arial" w:cs="Arial"/>
        </w:rPr>
        <w:t>s and is</w:t>
      </w:r>
      <w:r w:rsidR="00737E6A" w:rsidRPr="00737E6A">
        <w:rPr>
          <w:rFonts w:ascii="Arial" w:hAnsi="Arial" w:cs="Arial"/>
        </w:rPr>
        <w:t xml:space="preserve"> based in Jacobs in Durban</w:t>
      </w:r>
      <w:r w:rsidR="00825BAA">
        <w:rPr>
          <w:rFonts w:ascii="Arial" w:hAnsi="Arial" w:cs="Arial"/>
        </w:rPr>
        <w:t>. I</w:t>
      </w:r>
      <w:r w:rsidR="00737E6A" w:rsidRPr="00737E6A">
        <w:rPr>
          <w:rFonts w:ascii="Arial" w:hAnsi="Arial" w:cs="Arial"/>
        </w:rPr>
        <w:t>t also has its own distribution facilities in Johannesburg and Cape Town.</w:t>
      </w:r>
    </w:p>
    <w:p w:rsidR="007D6EF9" w:rsidRPr="009724A1" w:rsidRDefault="007D6EF9" w:rsidP="0080582B">
      <w:pPr>
        <w:pStyle w:val="ListParagraph"/>
        <w:numPr>
          <w:ilvl w:val="0"/>
          <w:numId w:val="2"/>
        </w:numPr>
        <w:spacing w:after="240" w:line="360" w:lineRule="auto"/>
        <w:ind w:left="0" w:firstLine="0"/>
        <w:jc w:val="both"/>
        <w:rPr>
          <w:rFonts w:ascii="Arial" w:hAnsi="Arial" w:cs="Arial"/>
        </w:rPr>
      </w:pPr>
      <w:r w:rsidRPr="009724A1">
        <w:rPr>
          <w:rFonts w:ascii="Arial" w:hAnsi="Arial" w:cs="Arial"/>
        </w:rPr>
        <w:t xml:space="preserve">Mr James Hodge </w:t>
      </w:r>
      <w:r w:rsidR="00731425">
        <w:rPr>
          <w:rFonts w:ascii="Arial" w:hAnsi="Arial" w:cs="Arial"/>
        </w:rPr>
        <w:t>(“</w:t>
      </w:r>
      <w:r w:rsidR="00731425" w:rsidRPr="009724A1">
        <w:rPr>
          <w:rFonts w:ascii="Arial" w:hAnsi="Arial" w:cs="Arial"/>
        </w:rPr>
        <w:t>Hodge</w:t>
      </w:r>
      <w:r w:rsidR="00731425">
        <w:rPr>
          <w:rFonts w:ascii="Arial" w:hAnsi="Arial" w:cs="Arial"/>
        </w:rPr>
        <w:t xml:space="preserve">”) </w:t>
      </w:r>
      <w:r w:rsidRPr="009724A1">
        <w:rPr>
          <w:rFonts w:ascii="Arial" w:hAnsi="Arial" w:cs="Arial"/>
        </w:rPr>
        <w:t xml:space="preserve">of Genesis </w:t>
      </w:r>
      <w:r w:rsidR="00AA63E0">
        <w:rPr>
          <w:rFonts w:ascii="Arial" w:hAnsi="Arial" w:cs="Arial"/>
        </w:rPr>
        <w:t>testified as economics expert for the Commission.</w:t>
      </w:r>
    </w:p>
    <w:p w:rsidR="007D6EF9" w:rsidRPr="009724A1" w:rsidRDefault="007D6EF9" w:rsidP="0080582B">
      <w:pPr>
        <w:pStyle w:val="ListParagraph"/>
        <w:numPr>
          <w:ilvl w:val="0"/>
          <w:numId w:val="2"/>
        </w:numPr>
        <w:spacing w:after="240" w:line="360" w:lineRule="auto"/>
        <w:ind w:left="0" w:firstLine="0"/>
        <w:jc w:val="both"/>
        <w:rPr>
          <w:rFonts w:ascii="Arial" w:hAnsi="Arial" w:cs="Arial"/>
        </w:rPr>
      </w:pPr>
      <w:r w:rsidRPr="009724A1">
        <w:rPr>
          <w:rFonts w:ascii="Arial" w:hAnsi="Arial" w:cs="Arial"/>
        </w:rPr>
        <w:t>The merging parties called</w:t>
      </w:r>
      <w:r w:rsidR="00AA63E0">
        <w:rPr>
          <w:rFonts w:ascii="Arial" w:hAnsi="Arial" w:cs="Arial"/>
        </w:rPr>
        <w:t xml:space="preserve"> the following factual witnesses</w:t>
      </w:r>
      <w:r w:rsidRPr="009724A1">
        <w:rPr>
          <w:rFonts w:ascii="Arial" w:hAnsi="Arial" w:cs="Arial"/>
        </w:rPr>
        <w:t>:</w:t>
      </w:r>
    </w:p>
    <w:p w:rsidR="00561C19" w:rsidRPr="00561C19" w:rsidRDefault="007D6EF9" w:rsidP="0080582B">
      <w:pPr>
        <w:pStyle w:val="ListParagraph"/>
        <w:numPr>
          <w:ilvl w:val="1"/>
          <w:numId w:val="2"/>
        </w:numPr>
        <w:spacing w:after="240" w:line="360" w:lineRule="auto"/>
        <w:jc w:val="both"/>
        <w:rPr>
          <w:rFonts w:ascii="Arial" w:hAnsi="Arial" w:cs="Arial"/>
        </w:rPr>
      </w:pPr>
      <w:r w:rsidRPr="009724A1">
        <w:rPr>
          <w:rFonts w:ascii="Arial" w:hAnsi="Arial" w:cs="Arial"/>
        </w:rPr>
        <w:t>Mr Alwyn Ne</w:t>
      </w:r>
      <w:r w:rsidR="00AA63E0">
        <w:rPr>
          <w:rFonts w:ascii="Arial" w:hAnsi="Arial" w:cs="Arial"/>
        </w:rPr>
        <w:t>e</w:t>
      </w:r>
      <w:r w:rsidRPr="009724A1">
        <w:rPr>
          <w:rFonts w:ascii="Arial" w:hAnsi="Arial" w:cs="Arial"/>
        </w:rPr>
        <w:t>thling</w:t>
      </w:r>
      <w:r w:rsidR="00731425">
        <w:rPr>
          <w:rFonts w:ascii="Arial" w:hAnsi="Arial" w:cs="Arial"/>
        </w:rPr>
        <w:t xml:space="preserve"> (“</w:t>
      </w:r>
      <w:r w:rsidR="00731425" w:rsidRPr="009724A1">
        <w:rPr>
          <w:rFonts w:ascii="Arial" w:hAnsi="Arial" w:cs="Arial"/>
        </w:rPr>
        <w:t>Ne</w:t>
      </w:r>
      <w:r w:rsidR="00731425">
        <w:rPr>
          <w:rFonts w:ascii="Arial" w:hAnsi="Arial" w:cs="Arial"/>
        </w:rPr>
        <w:t>e</w:t>
      </w:r>
      <w:r w:rsidR="00731425" w:rsidRPr="009724A1">
        <w:rPr>
          <w:rFonts w:ascii="Arial" w:hAnsi="Arial" w:cs="Arial"/>
        </w:rPr>
        <w:t>thling</w:t>
      </w:r>
      <w:r w:rsidR="00731425">
        <w:rPr>
          <w:rFonts w:ascii="Arial" w:hAnsi="Arial" w:cs="Arial"/>
        </w:rPr>
        <w:t>”)</w:t>
      </w:r>
      <w:r w:rsidR="00561C19">
        <w:rPr>
          <w:rFonts w:ascii="Arial" w:hAnsi="Arial" w:cs="Arial"/>
        </w:rPr>
        <w:t xml:space="preserve">, the Managing Director </w:t>
      </w:r>
      <w:r w:rsidRPr="009724A1">
        <w:rPr>
          <w:rFonts w:ascii="Arial" w:hAnsi="Arial" w:cs="Arial"/>
        </w:rPr>
        <w:t xml:space="preserve">of </w:t>
      </w:r>
      <w:r w:rsidR="00561C19">
        <w:rPr>
          <w:rFonts w:ascii="Arial" w:hAnsi="Arial" w:cs="Arial"/>
        </w:rPr>
        <w:t>Victoria &amp; Albert (“</w:t>
      </w:r>
      <w:r w:rsidRPr="009724A1">
        <w:rPr>
          <w:rFonts w:ascii="Arial" w:hAnsi="Arial" w:cs="Arial"/>
        </w:rPr>
        <w:t>V&amp;A</w:t>
      </w:r>
      <w:r w:rsidR="00561C19">
        <w:rPr>
          <w:rFonts w:ascii="Arial" w:hAnsi="Arial" w:cs="Arial"/>
        </w:rPr>
        <w:t xml:space="preserve">”), a bath manufacturer based in Worcester, Cape Town. </w:t>
      </w:r>
      <w:r w:rsidR="00561C19" w:rsidRPr="00561C19">
        <w:rPr>
          <w:rFonts w:ascii="Arial" w:hAnsi="Arial" w:cs="Arial"/>
        </w:rPr>
        <w:t>V&amp;A</w:t>
      </w:r>
      <w:r w:rsidR="000A66B4">
        <w:rPr>
          <w:rFonts w:ascii="Arial" w:hAnsi="Arial" w:cs="Arial"/>
        </w:rPr>
        <w:t>’s</w:t>
      </w:r>
      <w:r w:rsidR="00561C19" w:rsidRPr="00561C19">
        <w:rPr>
          <w:rFonts w:ascii="Arial" w:hAnsi="Arial" w:cs="Arial"/>
        </w:rPr>
        <w:t xml:space="preserve"> baths are manufactured from </w:t>
      </w:r>
      <w:r w:rsidR="00E77BBF">
        <w:rPr>
          <w:rFonts w:ascii="Arial" w:hAnsi="Arial" w:cs="Arial"/>
        </w:rPr>
        <w:t>q</w:t>
      </w:r>
      <w:r w:rsidR="00561C19" w:rsidRPr="00561C19">
        <w:rPr>
          <w:rFonts w:ascii="Arial" w:hAnsi="Arial" w:cs="Arial"/>
        </w:rPr>
        <w:t xml:space="preserve">uarrycast material, which consists of </w:t>
      </w:r>
      <w:r w:rsidR="00282911" w:rsidRPr="00282911">
        <w:rPr>
          <w:noProof/>
          <w:lang w:val="en-ZA" w:eastAsia="en-ZA"/>
        </w:rPr>
        <w:pict>
          <v:shapetype id="_x0000_t202" coordsize="21600,21600" o:spt="202" path="m,l,21600r21600,l21600,xe">
            <v:stroke joinstyle="miter"/>
            <v:path gradientshapeok="t" o:connecttype="rect"/>
          </v:shapetype>
          <v:shape id="Text Box 39" o:spid="_x0000_s1029" type="#_x0000_t202" style="position:absolute;left:0;text-align:left;margin-left:314.15pt;margin-top:119.5pt;width:126.75pt;height:11.5pt;z-index:-251602944;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" o:allowincell="f" stroked="f">
            <v:fill opacity="0"/>
            <v:textbox inset="0,0,0,0">
              <w:txbxContent>
                <w:p w:rsidR="00F02DA6" w:rsidRDefault="00F02DA6" w:rsidP="00561C19">
                  <w:pPr>
                    <w:spacing w:line="230" w:lineRule="atLeast"/>
                    <w:jc w:val="center"/>
                  </w:pPr>
                  <w:r>
                    <w:rPr>
                      <w:noProof/>
                      <w:lang w:val="en-ZA" w:eastAsia="en-ZA"/>
                    </w:rPr>
                    <w:drawing>
                      <wp:inline distT="0" distB="0" distL="0" distR="0">
                        <wp:extent cx="1611630" cy="146685"/>
                        <wp:effectExtent l="19050" t="0" r="762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srcRect/>
                                <a:stretch>
                                  <a:fillRect/>
                                </a:stretch>
                              </pic:blipFill>
                              <pic:spPr bwMode="auto">
                                <a:xfrm>
                                  <a:off x="0" y="0"/>
                                  <a:ext cx="1611630" cy="146685"/>
                                </a:xfrm>
                                <a:prstGeom prst="rect">
                                  <a:avLst/>
                                </a:prstGeom>
                                <a:noFill/>
                                <a:ln w="9525">
                                  <a:noFill/>
                                  <a:miter lim="800000"/>
                                  <a:headEnd/>
                                  <a:tailEnd/>
                                </a:ln>
                              </pic:spPr>
                            </pic:pic>
                          </a:graphicData>
                        </a:graphic>
                      </wp:inline>
                    </w:drawing>
                  </w:r>
                </w:p>
              </w:txbxContent>
            </v:textbox>
          </v:shape>
        </w:pict>
      </w:r>
      <w:r w:rsidR="00561C19" w:rsidRPr="00561C19">
        <w:rPr>
          <w:rFonts w:ascii="Arial" w:hAnsi="Arial" w:cs="Arial"/>
        </w:rPr>
        <w:t xml:space="preserve">finely ground </w:t>
      </w:r>
      <w:r w:rsidR="00E77BBF">
        <w:rPr>
          <w:rFonts w:ascii="Arial" w:hAnsi="Arial" w:cs="Arial"/>
        </w:rPr>
        <w:t>v</w:t>
      </w:r>
      <w:r w:rsidR="00561C19" w:rsidRPr="00561C19">
        <w:rPr>
          <w:rFonts w:ascii="Arial" w:hAnsi="Arial" w:cs="Arial"/>
        </w:rPr>
        <w:t xml:space="preserve">olcanic </w:t>
      </w:r>
      <w:r w:rsidR="00D7777D">
        <w:rPr>
          <w:rFonts w:ascii="Arial" w:hAnsi="Arial" w:cs="Arial"/>
        </w:rPr>
        <w:t>l</w:t>
      </w:r>
      <w:r w:rsidR="00561C19" w:rsidRPr="00561C19">
        <w:rPr>
          <w:rFonts w:ascii="Arial" w:hAnsi="Arial" w:cs="Arial"/>
        </w:rPr>
        <w:t>imestone mixed with specialised resin</w:t>
      </w:r>
      <w:r w:rsidR="00561C19" w:rsidRPr="00561C19">
        <w:t>.</w:t>
      </w:r>
    </w:p>
    <w:p w:rsidR="000720D7" w:rsidRPr="000720D7" w:rsidRDefault="007D6EF9" w:rsidP="0080582B">
      <w:pPr>
        <w:pStyle w:val="ListParagraph"/>
        <w:numPr>
          <w:ilvl w:val="1"/>
          <w:numId w:val="2"/>
        </w:numPr>
        <w:spacing w:after="240" w:line="360" w:lineRule="auto"/>
        <w:jc w:val="both"/>
        <w:rPr>
          <w:rFonts w:ascii="Arial" w:hAnsi="Arial" w:cs="Arial"/>
        </w:rPr>
      </w:pPr>
      <w:r w:rsidRPr="000720D7">
        <w:rPr>
          <w:rFonts w:ascii="Arial" w:hAnsi="Arial" w:cs="Arial"/>
        </w:rPr>
        <w:t>Mr Eric Stephen</w:t>
      </w:r>
      <w:r w:rsidR="00731425">
        <w:rPr>
          <w:rFonts w:ascii="Arial" w:hAnsi="Arial" w:cs="Arial"/>
        </w:rPr>
        <w:t xml:space="preserve"> (“</w:t>
      </w:r>
      <w:r w:rsidR="00731425" w:rsidRPr="000720D7">
        <w:rPr>
          <w:rFonts w:ascii="Arial" w:hAnsi="Arial" w:cs="Arial"/>
        </w:rPr>
        <w:t>Stephen</w:t>
      </w:r>
      <w:r w:rsidR="00731425">
        <w:rPr>
          <w:rFonts w:ascii="Arial" w:hAnsi="Arial" w:cs="Arial"/>
        </w:rPr>
        <w:t>”)</w:t>
      </w:r>
      <w:r w:rsidR="005B238B" w:rsidRPr="000720D7">
        <w:rPr>
          <w:rFonts w:ascii="Arial" w:hAnsi="Arial" w:cs="Arial"/>
        </w:rPr>
        <w:t>,</w:t>
      </w:r>
      <w:r w:rsidRPr="000720D7">
        <w:rPr>
          <w:rFonts w:ascii="Arial" w:hAnsi="Arial" w:cs="Arial"/>
        </w:rPr>
        <w:t xml:space="preserve"> </w:t>
      </w:r>
      <w:r w:rsidR="005B238B" w:rsidRPr="000720D7">
        <w:rPr>
          <w:rFonts w:ascii="Arial" w:hAnsi="Arial" w:cs="Arial"/>
        </w:rPr>
        <w:t>the owner of Fowkes Brothers (P</w:t>
      </w:r>
      <w:r w:rsidR="00C55A00">
        <w:rPr>
          <w:rFonts w:ascii="Arial" w:hAnsi="Arial" w:cs="Arial"/>
        </w:rPr>
        <w:t>t</w:t>
      </w:r>
      <w:r w:rsidR="005B238B" w:rsidRPr="000720D7">
        <w:rPr>
          <w:rFonts w:ascii="Arial" w:hAnsi="Arial" w:cs="Arial"/>
        </w:rPr>
        <w:t>y) Ltd (</w:t>
      </w:r>
      <w:r w:rsidR="000720D7" w:rsidRPr="000720D7">
        <w:rPr>
          <w:rFonts w:ascii="Arial" w:hAnsi="Arial" w:cs="Arial"/>
        </w:rPr>
        <w:t>“</w:t>
      </w:r>
      <w:r w:rsidR="005B238B" w:rsidRPr="000720D7">
        <w:rPr>
          <w:rFonts w:ascii="Arial" w:hAnsi="Arial" w:cs="Arial"/>
        </w:rPr>
        <w:t>Fowkes Brothers</w:t>
      </w:r>
      <w:r w:rsidR="000720D7" w:rsidRPr="000720D7">
        <w:rPr>
          <w:rFonts w:ascii="Arial" w:hAnsi="Arial" w:cs="Arial"/>
        </w:rPr>
        <w:t>”</w:t>
      </w:r>
      <w:r w:rsidR="005B238B" w:rsidRPr="000720D7">
        <w:rPr>
          <w:rFonts w:ascii="Arial" w:hAnsi="Arial" w:cs="Arial"/>
        </w:rPr>
        <w:t xml:space="preserve">). </w:t>
      </w:r>
      <w:r w:rsidR="000720D7" w:rsidRPr="000720D7">
        <w:rPr>
          <w:rFonts w:ascii="Arial" w:hAnsi="Arial" w:cs="Arial"/>
        </w:rPr>
        <w:t xml:space="preserve">Fowkes Brothers supplies resin to customers who utilise the </w:t>
      </w:r>
      <w:r w:rsidR="000720D7" w:rsidRPr="000720D7">
        <w:rPr>
          <w:rFonts w:ascii="Arial" w:hAnsi="Arial" w:cs="Arial"/>
        </w:rPr>
        <w:lastRenderedPageBreak/>
        <w:t xml:space="preserve">resin in a wide variety of industries and applications </w:t>
      </w:r>
      <w:r w:rsidR="0098180A">
        <w:rPr>
          <w:rFonts w:ascii="Arial" w:hAnsi="Arial" w:cs="Arial"/>
        </w:rPr>
        <w:t>primarily</w:t>
      </w:r>
      <w:r w:rsidR="0098180A" w:rsidRPr="000720D7">
        <w:rPr>
          <w:rFonts w:ascii="Arial" w:hAnsi="Arial" w:cs="Arial"/>
        </w:rPr>
        <w:t xml:space="preserve"> </w:t>
      </w:r>
      <w:r w:rsidR="000720D7" w:rsidRPr="000720D7">
        <w:rPr>
          <w:rFonts w:ascii="Arial" w:hAnsi="Arial" w:cs="Arial"/>
        </w:rPr>
        <w:t>in the Cape</w:t>
      </w:r>
      <w:r w:rsidR="0098180A">
        <w:rPr>
          <w:rFonts w:ascii="Arial" w:hAnsi="Arial" w:cs="Arial"/>
        </w:rPr>
        <w:t xml:space="preserve"> region</w:t>
      </w:r>
      <w:r w:rsidR="000720D7" w:rsidRPr="000720D7">
        <w:rPr>
          <w:rFonts w:ascii="Arial" w:hAnsi="Arial" w:cs="Arial"/>
        </w:rPr>
        <w:t>. Its customers include pool builders, canopy builders, boat builders, manhole cover manufacturers and sanitary ware manufacturers.</w:t>
      </w:r>
    </w:p>
    <w:p w:rsidR="007D6EF9" w:rsidRPr="00100026" w:rsidRDefault="007D6EF9" w:rsidP="00731425">
      <w:pPr>
        <w:pStyle w:val="ListParagraph"/>
        <w:numPr>
          <w:ilvl w:val="1"/>
          <w:numId w:val="2"/>
        </w:numPr>
        <w:spacing w:after="240" w:line="360" w:lineRule="auto"/>
        <w:jc w:val="both"/>
        <w:rPr>
          <w:rFonts w:ascii="Arial" w:hAnsi="Arial" w:cs="Arial"/>
        </w:rPr>
      </w:pPr>
      <w:r w:rsidRPr="00100026">
        <w:rPr>
          <w:rFonts w:ascii="Arial" w:hAnsi="Arial" w:cs="Arial"/>
        </w:rPr>
        <w:t>Mr Riedwaan Khan</w:t>
      </w:r>
      <w:r w:rsidR="00731425">
        <w:rPr>
          <w:rFonts w:ascii="Arial" w:hAnsi="Arial" w:cs="Arial"/>
        </w:rPr>
        <w:t xml:space="preserve"> (“</w:t>
      </w:r>
      <w:r w:rsidR="00731425" w:rsidRPr="00100026">
        <w:rPr>
          <w:rFonts w:ascii="Arial" w:hAnsi="Arial" w:cs="Arial"/>
        </w:rPr>
        <w:t>Khan</w:t>
      </w:r>
      <w:r w:rsidR="00731425">
        <w:rPr>
          <w:rFonts w:ascii="Arial" w:hAnsi="Arial" w:cs="Arial"/>
        </w:rPr>
        <w:t>”)</w:t>
      </w:r>
      <w:r w:rsidR="00100026" w:rsidRPr="00100026">
        <w:rPr>
          <w:rFonts w:ascii="Arial" w:hAnsi="Arial" w:cs="Arial"/>
        </w:rPr>
        <w:t>, one of the founder members of Elite Fibre CC (</w:t>
      </w:r>
      <w:r w:rsidR="00825BAA">
        <w:rPr>
          <w:rFonts w:ascii="Arial" w:hAnsi="Arial" w:cs="Arial"/>
        </w:rPr>
        <w:t>“</w:t>
      </w:r>
      <w:r w:rsidR="00100026" w:rsidRPr="00100026">
        <w:rPr>
          <w:rFonts w:ascii="Arial" w:hAnsi="Arial" w:cs="Arial"/>
        </w:rPr>
        <w:t>Elite Fibre</w:t>
      </w:r>
      <w:r w:rsidR="00825BAA">
        <w:rPr>
          <w:rFonts w:ascii="Arial" w:hAnsi="Arial" w:cs="Arial"/>
        </w:rPr>
        <w:t>”</w:t>
      </w:r>
      <w:r w:rsidR="00100026" w:rsidRPr="00100026">
        <w:rPr>
          <w:rFonts w:ascii="Arial" w:hAnsi="Arial" w:cs="Arial"/>
        </w:rPr>
        <w:t>), a manufacturer of refrigerated truck bodies</w:t>
      </w:r>
      <w:r w:rsidR="00C55A00" w:rsidRPr="00C55A00">
        <w:rPr>
          <w:rFonts w:ascii="Arial" w:hAnsi="Arial" w:cs="Arial"/>
        </w:rPr>
        <w:t xml:space="preserve"> </w:t>
      </w:r>
      <w:r w:rsidR="00C55A00">
        <w:rPr>
          <w:rFonts w:ascii="Arial" w:hAnsi="Arial" w:cs="Arial"/>
        </w:rPr>
        <w:t xml:space="preserve">with its </w:t>
      </w:r>
      <w:r w:rsidR="00C55A00" w:rsidRPr="00100026">
        <w:rPr>
          <w:rFonts w:ascii="Arial" w:hAnsi="Arial" w:cs="Arial"/>
        </w:rPr>
        <w:t>headquarters in Denver, Johannesburg</w:t>
      </w:r>
      <w:r w:rsidR="00C55A00">
        <w:rPr>
          <w:rFonts w:ascii="Arial" w:hAnsi="Arial" w:cs="Arial"/>
        </w:rPr>
        <w:t xml:space="preserve">. These </w:t>
      </w:r>
      <w:r w:rsidR="00100026" w:rsidRPr="00100026">
        <w:rPr>
          <w:rFonts w:ascii="Arial" w:hAnsi="Arial" w:cs="Arial"/>
        </w:rPr>
        <w:t>insulated truck bodies</w:t>
      </w:r>
      <w:r w:rsidR="00CC7A21">
        <w:rPr>
          <w:rFonts w:ascii="Arial" w:hAnsi="Arial" w:cs="Arial"/>
        </w:rPr>
        <w:t>,</w:t>
      </w:r>
      <w:r w:rsidR="00C55A00">
        <w:rPr>
          <w:rFonts w:ascii="Arial" w:hAnsi="Arial" w:cs="Arial"/>
        </w:rPr>
        <w:t xml:space="preserve"> </w:t>
      </w:r>
      <w:r w:rsidR="00100026" w:rsidRPr="00100026">
        <w:rPr>
          <w:rFonts w:ascii="Arial" w:hAnsi="Arial" w:cs="Arial"/>
        </w:rPr>
        <w:t>used for transporting frozen and chilled goods</w:t>
      </w:r>
      <w:r w:rsidR="00CC7A21">
        <w:rPr>
          <w:rFonts w:ascii="Arial" w:hAnsi="Arial" w:cs="Arial"/>
        </w:rPr>
        <w:t xml:space="preserve">, </w:t>
      </w:r>
      <w:r w:rsidRPr="00100026">
        <w:rPr>
          <w:rFonts w:ascii="Arial" w:hAnsi="Arial" w:cs="Arial"/>
        </w:rPr>
        <w:t>consist of fibreglass skins, which consist of resin gel coat, mat, catalyst, polyurethane, foam, plywood, meranti beams, steel and aluminium</w:t>
      </w:r>
      <w:r w:rsidR="00100026" w:rsidRPr="00100026">
        <w:rPr>
          <w:rFonts w:ascii="Arial" w:hAnsi="Arial" w:cs="Arial"/>
        </w:rPr>
        <w:t>.</w:t>
      </w:r>
      <w:r>
        <w:rPr>
          <w:rStyle w:val="FootnoteReference"/>
          <w:rFonts w:ascii="Arial" w:hAnsi="Arial" w:cs="Arial"/>
        </w:rPr>
        <w:footnoteReference w:id="11"/>
      </w:r>
      <w:r w:rsidRPr="00100026">
        <w:rPr>
          <w:rFonts w:ascii="Arial" w:hAnsi="Arial" w:cs="Arial"/>
        </w:rPr>
        <w:t xml:space="preserve"> </w:t>
      </w:r>
      <w:r w:rsidR="00100026" w:rsidRPr="00100026">
        <w:rPr>
          <w:rFonts w:ascii="Arial" w:hAnsi="Arial" w:cs="Arial"/>
        </w:rPr>
        <w:t xml:space="preserve">Elite Fibre </w:t>
      </w:r>
      <w:r w:rsidRPr="00100026">
        <w:rPr>
          <w:rFonts w:ascii="Arial" w:hAnsi="Arial" w:cs="Arial"/>
        </w:rPr>
        <w:t>utilise</w:t>
      </w:r>
      <w:r w:rsidR="00100026" w:rsidRPr="00100026">
        <w:rPr>
          <w:rFonts w:ascii="Arial" w:hAnsi="Arial" w:cs="Arial"/>
        </w:rPr>
        <w:t>s</w:t>
      </w:r>
      <w:r w:rsidRPr="00100026">
        <w:rPr>
          <w:rFonts w:ascii="Arial" w:hAnsi="Arial" w:cs="Arial"/>
        </w:rPr>
        <w:t xml:space="preserve"> a general purpose resin and </w:t>
      </w:r>
      <w:r w:rsidR="00100026">
        <w:rPr>
          <w:rFonts w:ascii="Arial" w:hAnsi="Arial" w:cs="Arial"/>
        </w:rPr>
        <w:t xml:space="preserve">has </w:t>
      </w:r>
      <w:r w:rsidRPr="00100026">
        <w:rPr>
          <w:rFonts w:ascii="Arial" w:hAnsi="Arial" w:cs="Arial"/>
        </w:rPr>
        <w:t>a resin-intensive production process.</w:t>
      </w:r>
      <w:r>
        <w:rPr>
          <w:rStyle w:val="FootnoteReference"/>
          <w:rFonts w:ascii="Arial" w:hAnsi="Arial" w:cs="Arial"/>
        </w:rPr>
        <w:footnoteReference w:id="12"/>
      </w:r>
    </w:p>
    <w:p w:rsidR="00280E09" w:rsidRPr="00280E09" w:rsidRDefault="00877BC9" w:rsidP="00310CB0">
      <w:pPr>
        <w:pStyle w:val="ListParagraph"/>
        <w:numPr>
          <w:ilvl w:val="1"/>
          <w:numId w:val="2"/>
        </w:numPr>
        <w:spacing w:after="240" w:line="360" w:lineRule="auto"/>
        <w:jc w:val="both"/>
        <w:rPr>
          <w:rFonts w:ascii="Arial" w:hAnsi="Arial" w:cs="Arial"/>
        </w:rPr>
      </w:pPr>
      <w:r w:rsidRPr="00280E09">
        <w:rPr>
          <w:rFonts w:ascii="Arial" w:hAnsi="Arial" w:cs="Arial"/>
        </w:rPr>
        <w:t>Mr Mark Perrow</w:t>
      </w:r>
      <w:r w:rsidR="00C55A00">
        <w:rPr>
          <w:rFonts w:ascii="Arial" w:hAnsi="Arial" w:cs="Arial"/>
        </w:rPr>
        <w:t xml:space="preserve"> (“</w:t>
      </w:r>
      <w:r w:rsidR="00C55A00" w:rsidRPr="00280E09">
        <w:rPr>
          <w:rFonts w:ascii="Arial" w:hAnsi="Arial" w:cs="Arial"/>
        </w:rPr>
        <w:t>Perrow</w:t>
      </w:r>
      <w:r w:rsidR="00C55A00">
        <w:rPr>
          <w:rFonts w:ascii="Arial" w:hAnsi="Arial" w:cs="Arial"/>
        </w:rPr>
        <w:t>”)</w:t>
      </w:r>
      <w:r w:rsidR="00280E09" w:rsidRPr="00280E09">
        <w:rPr>
          <w:rFonts w:ascii="Arial" w:hAnsi="Arial" w:cs="Arial"/>
        </w:rPr>
        <w:t>, the Sales Director of NCS</w:t>
      </w:r>
      <w:r w:rsidR="00280E09">
        <w:rPr>
          <w:rFonts w:ascii="Arial" w:hAnsi="Arial" w:cs="Arial"/>
        </w:rPr>
        <w:t>.</w:t>
      </w:r>
    </w:p>
    <w:p w:rsidR="00CA0A54" w:rsidRPr="00CA0A54" w:rsidRDefault="007D6EF9" w:rsidP="00310CB0">
      <w:pPr>
        <w:pStyle w:val="ListParagraph"/>
        <w:numPr>
          <w:ilvl w:val="1"/>
          <w:numId w:val="2"/>
        </w:numPr>
        <w:spacing w:after="240" w:line="360" w:lineRule="auto"/>
        <w:jc w:val="both"/>
        <w:rPr>
          <w:rFonts w:ascii="Arial" w:hAnsi="Arial" w:cs="Arial"/>
        </w:rPr>
      </w:pPr>
      <w:r w:rsidRPr="00CA0A54">
        <w:rPr>
          <w:rFonts w:ascii="Arial" w:hAnsi="Arial" w:cs="Arial"/>
        </w:rPr>
        <w:t>Mr Daniel Souchon</w:t>
      </w:r>
      <w:r w:rsidR="00C55A00">
        <w:rPr>
          <w:rFonts w:ascii="Arial" w:hAnsi="Arial" w:cs="Arial"/>
        </w:rPr>
        <w:t xml:space="preserve"> (“</w:t>
      </w:r>
      <w:r w:rsidR="00C55A00" w:rsidRPr="00CA0A54">
        <w:rPr>
          <w:rFonts w:ascii="Arial" w:hAnsi="Arial" w:cs="Arial"/>
        </w:rPr>
        <w:t>Souchon</w:t>
      </w:r>
      <w:r w:rsidR="00C55A00">
        <w:rPr>
          <w:rFonts w:ascii="Arial" w:hAnsi="Arial" w:cs="Arial"/>
        </w:rPr>
        <w:t>”)</w:t>
      </w:r>
      <w:r w:rsidR="00CA0A54" w:rsidRPr="00CA0A54">
        <w:rPr>
          <w:rFonts w:ascii="Arial" w:hAnsi="Arial" w:cs="Arial"/>
        </w:rPr>
        <w:t>,</w:t>
      </w:r>
      <w:r w:rsidRPr="00CA0A54">
        <w:rPr>
          <w:rFonts w:ascii="Arial" w:hAnsi="Arial" w:cs="Arial"/>
        </w:rPr>
        <w:t xml:space="preserve"> </w:t>
      </w:r>
      <w:r w:rsidR="00CA0A54" w:rsidRPr="00CA0A54">
        <w:rPr>
          <w:rFonts w:ascii="Arial" w:hAnsi="Arial" w:cs="Arial"/>
        </w:rPr>
        <w:t xml:space="preserve">the Managing Director </w:t>
      </w:r>
      <w:r w:rsidRPr="00CA0A54">
        <w:rPr>
          <w:rFonts w:ascii="Arial" w:hAnsi="Arial" w:cs="Arial"/>
        </w:rPr>
        <w:t>of</w:t>
      </w:r>
      <w:r w:rsidR="0098180A">
        <w:rPr>
          <w:rFonts w:ascii="Arial" w:hAnsi="Arial" w:cs="Arial"/>
        </w:rPr>
        <w:t xml:space="preserve"> both</w:t>
      </w:r>
      <w:r w:rsidRPr="00CA0A54">
        <w:rPr>
          <w:rFonts w:ascii="Arial" w:hAnsi="Arial" w:cs="Arial"/>
        </w:rPr>
        <w:t xml:space="preserve"> Arkema SA and</w:t>
      </w:r>
      <w:r w:rsidR="00CA0A54" w:rsidRPr="00CA0A54">
        <w:rPr>
          <w:rFonts w:ascii="Arial" w:hAnsi="Arial" w:cs="Arial"/>
        </w:rPr>
        <w:t xml:space="preserve"> Harveys.</w:t>
      </w:r>
    </w:p>
    <w:p w:rsidR="00952946" w:rsidRPr="00952946" w:rsidRDefault="007D6EF9" w:rsidP="00310CB0">
      <w:pPr>
        <w:pStyle w:val="ListParagraph"/>
        <w:numPr>
          <w:ilvl w:val="1"/>
          <w:numId w:val="2"/>
        </w:numPr>
        <w:spacing w:after="240" w:line="360" w:lineRule="auto"/>
        <w:jc w:val="both"/>
        <w:rPr>
          <w:rFonts w:ascii="Arial" w:hAnsi="Arial" w:cs="Arial"/>
        </w:rPr>
      </w:pPr>
      <w:r w:rsidRPr="00952946">
        <w:rPr>
          <w:rFonts w:ascii="Arial" w:hAnsi="Arial" w:cs="Arial"/>
        </w:rPr>
        <w:t>Mr J</w:t>
      </w:r>
      <w:r w:rsidR="00952946" w:rsidRPr="00952946">
        <w:rPr>
          <w:rFonts w:ascii="Arial" w:hAnsi="Arial" w:cs="Arial"/>
        </w:rPr>
        <w:t>ean-</w:t>
      </w:r>
      <w:r w:rsidRPr="00952946">
        <w:rPr>
          <w:rFonts w:ascii="Arial" w:hAnsi="Arial" w:cs="Arial"/>
        </w:rPr>
        <w:t>C</w:t>
      </w:r>
      <w:r w:rsidR="00952946" w:rsidRPr="00952946">
        <w:rPr>
          <w:rFonts w:ascii="Arial" w:hAnsi="Arial" w:cs="Arial"/>
        </w:rPr>
        <w:t>hristophe</w:t>
      </w:r>
      <w:r w:rsidRPr="00952946">
        <w:rPr>
          <w:rFonts w:ascii="Arial" w:hAnsi="Arial" w:cs="Arial"/>
        </w:rPr>
        <w:t xml:space="preserve"> Leveugle</w:t>
      </w:r>
      <w:r w:rsidR="00C55A00">
        <w:rPr>
          <w:rFonts w:ascii="Arial" w:hAnsi="Arial" w:cs="Arial"/>
        </w:rPr>
        <w:t xml:space="preserve"> (“</w:t>
      </w:r>
      <w:r w:rsidR="00C55A00" w:rsidRPr="00952946">
        <w:rPr>
          <w:rFonts w:ascii="Arial" w:hAnsi="Arial" w:cs="Arial"/>
        </w:rPr>
        <w:t>Leveugle</w:t>
      </w:r>
      <w:r w:rsidR="00C55A00">
        <w:rPr>
          <w:rFonts w:ascii="Arial" w:hAnsi="Arial" w:cs="Arial"/>
        </w:rPr>
        <w:t>”)</w:t>
      </w:r>
      <w:r w:rsidR="00952946" w:rsidRPr="00952946">
        <w:rPr>
          <w:rFonts w:ascii="Arial" w:hAnsi="Arial" w:cs="Arial"/>
        </w:rPr>
        <w:t>, the Global Strategy, Marketing and Development Director of the Arkema Coating Resins Business Unit embedded in various legal entities of Arkema, the parent company of Arkema Afrique SAS</w:t>
      </w:r>
      <w:r w:rsidR="00952946">
        <w:rPr>
          <w:rFonts w:ascii="Arial" w:hAnsi="Arial" w:cs="Arial"/>
        </w:rPr>
        <w:t>.</w:t>
      </w:r>
    </w:p>
    <w:p w:rsidR="00877BC9" w:rsidRPr="009724A1" w:rsidRDefault="00877BC9" w:rsidP="0080582B">
      <w:pPr>
        <w:pStyle w:val="ListParagraph"/>
        <w:numPr>
          <w:ilvl w:val="0"/>
          <w:numId w:val="2"/>
        </w:numPr>
        <w:spacing w:after="240" w:line="360" w:lineRule="auto"/>
        <w:ind w:left="0" w:firstLine="0"/>
        <w:jc w:val="both"/>
        <w:rPr>
          <w:rFonts w:ascii="Arial" w:hAnsi="Arial" w:cs="Arial"/>
        </w:rPr>
      </w:pPr>
      <w:r w:rsidRPr="009724A1">
        <w:rPr>
          <w:rFonts w:ascii="Arial" w:hAnsi="Arial" w:cs="Arial"/>
        </w:rPr>
        <w:t xml:space="preserve">Mr Patrick Smith </w:t>
      </w:r>
      <w:r w:rsidR="00CC7A21">
        <w:rPr>
          <w:rFonts w:ascii="Arial" w:hAnsi="Arial" w:cs="Arial"/>
        </w:rPr>
        <w:t>(“</w:t>
      </w:r>
      <w:r w:rsidR="00CC7A21" w:rsidRPr="009724A1">
        <w:rPr>
          <w:rFonts w:ascii="Arial" w:hAnsi="Arial" w:cs="Arial"/>
        </w:rPr>
        <w:t>Smith</w:t>
      </w:r>
      <w:r w:rsidR="00CC7A21">
        <w:rPr>
          <w:rFonts w:ascii="Arial" w:hAnsi="Arial" w:cs="Arial"/>
        </w:rPr>
        <w:t xml:space="preserve">”) </w:t>
      </w:r>
      <w:r w:rsidRPr="009724A1">
        <w:rPr>
          <w:rFonts w:ascii="Arial" w:hAnsi="Arial" w:cs="Arial"/>
        </w:rPr>
        <w:t xml:space="preserve">of RBB Economics </w:t>
      </w:r>
      <w:r>
        <w:rPr>
          <w:rFonts w:ascii="Arial" w:hAnsi="Arial" w:cs="Arial"/>
        </w:rPr>
        <w:t>testified as economics expert for the merging parties.</w:t>
      </w:r>
    </w:p>
    <w:p w:rsidR="009F6406" w:rsidRPr="00C55A00" w:rsidRDefault="009F6406" w:rsidP="009F6406">
      <w:pPr>
        <w:pStyle w:val="ListParagraph"/>
        <w:spacing w:after="240" w:line="360" w:lineRule="auto"/>
        <w:ind w:left="0"/>
        <w:jc w:val="both"/>
        <w:rPr>
          <w:rFonts w:ascii="Arial" w:hAnsi="Arial" w:cs="Arial"/>
          <w:b/>
          <w:i/>
        </w:rPr>
      </w:pPr>
      <w:r w:rsidRPr="00C55A00">
        <w:rPr>
          <w:rFonts w:ascii="Arial" w:hAnsi="Arial" w:cs="Arial"/>
          <w:b/>
          <w:i/>
        </w:rPr>
        <w:t>Resins</w:t>
      </w:r>
      <w:r w:rsidR="00142ABF">
        <w:rPr>
          <w:rFonts w:ascii="Arial" w:hAnsi="Arial" w:cs="Arial"/>
          <w:b/>
          <w:i/>
        </w:rPr>
        <w:t>,</w:t>
      </w:r>
      <w:r w:rsidR="00DB2D77">
        <w:rPr>
          <w:rFonts w:ascii="Arial" w:hAnsi="Arial" w:cs="Arial"/>
          <w:b/>
          <w:i/>
        </w:rPr>
        <w:t xml:space="preserve"> UPR applications</w:t>
      </w:r>
      <w:r w:rsidR="00142ABF">
        <w:rPr>
          <w:rFonts w:ascii="Arial" w:hAnsi="Arial" w:cs="Arial"/>
          <w:b/>
          <w:i/>
        </w:rPr>
        <w:t xml:space="preserve"> and UPR producers</w:t>
      </w:r>
      <w:r w:rsidR="00FD1D38">
        <w:rPr>
          <w:rFonts w:ascii="Arial" w:hAnsi="Arial" w:cs="Arial"/>
          <w:b/>
          <w:i/>
        </w:rPr>
        <w:t xml:space="preserve"> in South Africa</w:t>
      </w:r>
    </w:p>
    <w:p w:rsidR="00210A01" w:rsidRDefault="00210A01" w:rsidP="0080582B">
      <w:pPr>
        <w:pStyle w:val="ListParagraph"/>
        <w:numPr>
          <w:ilvl w:val="0"/>
          <w:numId w:val="2"/>
        </w:numPr>
        <w:spacing w:after="240" w:line="360" w:lineRule="auto"/>
        <w:ind w:left="0" w:firstLine="0"/>
        <w:jc w:val="both"/>
        <w:rPr>
          <w:rFonts w:ascii="Arial" w:hAnsi="Arial" w:cs="Arial"/>
        </w:rPr>
      </w:pPr>
      <w:r w:rsidRPr="00A2403A">
        <w:rPr>
          <w:rFonts w:ascii="Arial" w:hAnsi="Arial" w:cs="Arial"/>
        </w:rPr>
        <w:t xml:space="preserve">A resin is a solid or liquid synthetic organic polymer used as </w:t>
      </w:r>
      <w:r w:rsidR="0092510A">
        <w:rPr>
          <w:rFonts w:ascii="Arial" w:hAnsi="Arial" w:cs="Arial"/>
        </w:rPr>
        <w:t>a</w:t>
      </w:r>
      <w:r w:rsidRPr="00A2403A">
        <w:rPr>
          <w:rFonts w:ascii="Arial" w:hAnsi="Arial" w:cs="Arial"/>
        </w:rPr>
        <w:t xml:space="preserve"> basis for </w:t>
      </w:r>
      <w:r w:rsidR="0092510A">
        <w:rPr>
          <w:rFonts w:ascii="Arial" w:hAnsi="Arial" w:cs="Arial"/>
        </w:rPr>
        <w:t xml:space="preserve">the manufacture of </w:t>
      </w:r>
      <w:r w:rsidRPr="00A2403A">
        <w:rPr>
          <w:rFonts w:ascii="Arial" w:hAnsi="Arial" w:cs="Arial"/>
        </w:rPr>
        <w:t xml:space="preserve">plastics, adhesives, varnishes and other products. There are essentially two broad types of resin:  </w:t>
      </w:r>
      <w:r w:rsidR="00C9410D" w:rsidRPr="00A2403A">
        <w:rPr>
          <w:rFonts w:ascii="Arial" w:hAnsi="Arial" w:cs="Arial"/>
        </w:rPr>
        <w:t xml:space="preserve">thermoset and </w:t>
      </w:r>
      <w:r w:rsidRPr="00A2403A">
        <w:rPr>
          <w:rFonts w:ascii="Arial" w:hAnsi="Arial" w:cs="Arial"/>
        </w:rPr>
        <w:t xml:space="preserve">thermoplastic. Thermoset resin can in turn be subdivided into two categories: </w:t>
      </w:r>
      <w:r w:rsidR="00A2403A" w:rsidRPr="00A2403A">
        <w:rPr>
          <w:rFonts w:ascii="Arial" w:hAnsi="Arial" w:cs="Arial"/>
        </w:rPr>
        <w:t xml:space="preserve">(i) </w:t>
      </w:r>
      <w:r w:rsidRPr="00A2403A">
        <w:rPr>
          <w:rFonts w:ascii="Arial" w:hAnsi="Arial" w:cs="Arial"/>
        </w:rPr>
        <w:t>composite resin</w:t>
      </w:r>
      <w:r w:rsidR="00F862A0">
        <w:rPr>
          <w:rFonts w:ascii="Arial" w:hAnsi="Arial" w:cs="Arial"/>
        </w:rPr>
        <w:t xml:space="preserve">, </w:t>
      </w:r>
      <w:r w:rsidRPr="00A2403A">
        <w:rPr>
          <w:rFonts w:ascii="Arial" w:hAnsi="Arial" w:cs="Arial"/>
        </w:rPr>
        <w:t xml:space="preserve">also known as </w:t>
      </w:r>
      <w:r w:rsidR="009F6406" w:rsidRPr="00A2403A">
        <w:rPr>
          <w:rFonts w:ascii="Arial" w:hAnsi="Arial" w:cs="Arial"/>
        </w:rPr>
        <w:t>UPR</w:t>
      </w:r>
      <w:r w:rsidR="00A2403A" w:rsidRPr="00A2403A">
        <w:rPr>
          <w:rFonts w:ascii="Arial" w:hAnsi="Arial" w:cs="Arial"/>
        </w:rPr>
        <w:t>;</w:t>
      </w:r>
      <w:r w:rsidRPr="00A2403A">
        <w:rPr>
          <w:rFonts w:ascii="Arial" w:hAnsi="Arial" w:cs="Arial"/>
        </w:rPr>
        <w:t xml:space="preserve"> and </w:t>
      </w:r>
      <w:r w:rsidR="00A2403A" w:rsidRPr="00A2403A">
        <w:rPr>
          <w:rFonts w:ascii="Arial" w:hAnsi="Arial" w:cs="Arial"/>
        </w:rPr>
        <w:t xml:space="preserve">(ii) </w:t>
      </w:r>
      <w:r w:rsidRPr="00A2403A">
        <w:rPr>
          <w:rFonts w:ascii="Arial" w:hAnsi="Arial" w:cs="Arial"/>
        </w:rPr>
        <w:t>coating resin</w:t>
      </w:r>
      <w:r w:rsidR="00A2403A">
        <w:rPr>
          <w:rStyle w:val="FootnoteReference"/>
          <w:rFonts w:ascii="Arial" w:hAnsi="Arial" w:cs="Arial"/>
        </w:rPr>
        <w:footnoteReference w:id="13"/>
      </w:r>
      <w:r w:rsidRPr="00A2403A">
        <w:rPr>
          <w:rFonts w:ascii="Arial" w:hAnsi="Arial" w:cs="Arial"/>
        </w:rPr>
        <w:t xml:space="preserve">. </w:t>
      </w:r>
      <w:r w:rsidR="00A2403A" w:rsidRPr="00A2403A">
        <w:rPr>
          <w:rFonts w:ascii="Arial" w:hAnsi="Arial" w:cs="Arial"/>
        </w:rPr>
        <w:t xml:space="preserve">As stated above, </w:t>
      </w:r>
      <w:r w:rsidR="00C9410D">
        <w:rPr>
          <w:rFonts w:ascii="Arial" w:hAnsi="Arial" w:cs="Arial"/>
        </w:rPr>
        <w:t xml:space="preserve">the product overlap </w:t>
      </w:r>
      <w:r w:rsidR="0017791A">
        <w:rPr>
          <w:rFonts w:ascii="Arial" w:hAnsi="Arial" w:cs="Arial"/>
        </w:rPr>
        <w:t>associated with</w:t>
      </w:r>
      <w:r w:rsidR="00C9410D">
        <w:rPr>
          <w:rFonts w:ascii="Arial" w:hAnsi="Arial" w:cs="Arial"/>
        </w:rPr>
        <w:t xml:space="preserve"> </w:t>
      </w:r>
      <w:r w:rsidR="00A2403A" w:rsidRPr="00A2403A">
        <w:rPr>
          <w:rFonts w:ascii="Arial" w:hAnsi="Arial" w:cs="Arial"/>
        </w:rPr>
        <w:t xml:space="preserve">this </w:t>
      </w:r>
      <w:r w:rsidR="0017791A">
        <w:rPr>
          <w:rFonts w:ascii="Arial" w:hAnsi="Arial" w:cs="Arial"/>
        </w:rPr>
        <w:t xml:space="preserve">proposed </w:t>
      </w:r>
      <w:r w:rsidR="00A2403A" w:rsidRPr="00A2403A">
        <w:rPr>
          <w:rFonts w:ascii="Arial" w:hAnsi="Arial" w:cs="Arial"/>
        </w:rPr>
        <w:t xml:space="preserve">transaction concerns thermoset composite resin or UPR. </w:t>
      </w:r>
      <w:r w:rsidRPr="00A2403A">
        <w:rPr>
          <w:rFonts w:ascii="Arial" w:hAnsi="Arial" w:cs="Arial"/>
        </w:rPr>
        <w:t xml:space="preserve">Thermoset composite resins are supplied </w:t>
      </w:r>
      <w:r w:rsidRPr="00A2403A">
        <w:rPr>
          <w:rFonts w:ascii="Arial" w:hAnsi="Arial" w:cs="Arial"/>
        </w:rPr>
        <w:lastRenderedPageBreak/>
        <w:t xml:space="preserve">as liquids that when catalysed, cure to a solid and form the matrix that holds together and reinforces composite parts. </w:t>
      </w:r>
    </w:p>
    <w:p w:rsidR="009A602F" w:rsidRDefault="00F22975" w:rsidP="0080582B">
      <w:pPr>
        <w:pStyle w:val="ListParagraph"/>
        <w:numPr>
          <w:ilvl w:val="0"/>
          <w:numId w:val="2"/>
        </w:numPr>
        <w:tabs>
          <w:tab w:val="num" w:pos="567"/>
        </w:tabs>
        <w:spacing w:after="240" w:line="360" w:lineRule="auto"/>
        <w:ind w:left="0" w:firstLine="0"/>
        <w:jc w:val="both"/>
        <w:rPr>
          <w:rFonts w:ascii="Arial" w:hAnsi="Arial" w:cs="Arial"/>
        </w:rPr>
      </w:pPr>
      <w:r w:rsidRPr="009A602F">
        <w:rPr>
          <w:rFonts w:ascii="Arial" w:hAnsi="Arial" w:cs="Arial"/>
        </w:rPr>
        <w:t>UPR is used in a wide variety of application</w:t>
      </w:r>
      <w:r w:rsidR="00E169A4">
        <w:rPr>
          <w:rFonts w:ascii="Arial" w:hAnsi="Arial" w:cs="Arial"/>
        </w:rPr>
        <w:t>s</w:t>
      </w:r>
      <w:r w:rsidR="000A66A4">
        <w:rPr>
          <w:rFonts w:ascii="Arial" w:hAnsi="Arial" w:cs="Arial"/>
        </w:rPr>
        <w:t xml:space="preserve"> i</w:t>
      </w:r>
      <w:r w:rsidRPr="009A602F">
        <w:rPr>
          <w:rFonts w:ascii="Arial" w:hAnsi="Arial" w:cs="Arial"/>
        </w:rPr>
        <w:t>ncluding sanitary ware; industrial pipes and chemical tanks; marine; transport (refrigerator truck bodies, bakkie canopies and load bodies</w:t>
      </w:r>
      <w:r w:rsidR="00E169A4">
        <w:rPr>
          <w:rFonts w:ascii="Arial" w:hAnsi="Arial" w:cs="Arial"/>
        </w:rPr>
        <w:t>)</w:t>
      </w:r>
      <w:r w:rsidRPr="009A602F">
        <w:rPr>
          <w:rFonts w:ascii="Arial" w:hAnsi="Arial" w:cs="Arial"/>
        </w:rPr>
        <w:t>; swimming pools; mining (resin capsules for roof bolts)</w:t>
      </w:r>
      <w:r w:rsidR="009A602F" w:rsidRPr="009A602F">
        <w:rPr>
          <w:rFonts w:ascii="Arial" w:hAnsi="Arial" w:cs="Arial"/>
        </w:rPr>
        <w:t>; arts and crafts</w:t>
      </w:r>
      <w:r w:rsidR="00DB2D77">
        <w:rPr>
          <w:rFonts w:ascii="Arial" w:hAnsi="Arial" w:cs="Arial"/>
        </w:rPr>
        <w:t>;</w:t>
      </w:r>
      <w:r w:rsidR="009A602F" w:rsidRPr="009A602F">
        <w:rPr>
          <w:rFonts w:ascii="Arial" w:hAnsi="Arial" w:cs="Arial"/>
        </w:rPr>
        <w:t xml:space="preserve"> buttons</w:t>
      </w:r>
      <w:r w:rsidR="00DB2D77">
        <w:rPr>
          <w:rFonts w:ascii="Arial" w:hAnsi="Arial" w:cs="Arial"/>
        </w:rPr>
        <w:t>;</w:t>
      </w:r>
      <w:r w:rsidR="009A602F" w:rsidRPr="009A602F">
        <w:rPr>
          <w:rFonts w:ascii="Arial" w:hAnsi="Arial" w:cs="Arial"/>
        </w:rPr>
        <w:t xml:space="preserve"> sporting goods; manhole covers; electrical insulators and lamp posts; body fillers; enclosures and guard huts; and </w:t>
      </w:r>
      <w:r w:rsidR="009A602F">
        <w:rPr>
          <w:rFonts w:ascii="Arial" w:hAnsi="Arial" w:cs="Arial"/>
        </w:rPr>
        <w:t>w</w:t>
      </w:r>
      <w:r w:rsidR="009A602F" w:rsidRPr="009A602F">
        <w:rPr>
          <w:rFonts w:ascii="Arial" w:hAnsi="Arial" w:cs="Arial"/>
        </w:rPr>
        <w:t>aterproofing.</w:t>
      </w:r>
    </w:p>
    <w:p w:rsidR="00112BF8" w:rsidRDefault="00543F9C" w:rsidP="00543F9C">
      <w:pPr>
        <w:pStyle w:val="ListParagraph"/>
        <w:numPr>
          <w:ilvl w:val="0"/>
          <w:numId w:val="2"/>
        </w:numPr>
        <w:tabs>
          <w:tab w:val="num" w:pos="567"/>
        </w:tabs>
        <w:spacing w:after="240" w:line="360" w:lineRule="auto"/>
        <w:ind w:left="0" w:firstLine="0"/>
        <w:jc w:val="both"/>
        <w:rPr>
          <w:rFonts w:ascii="Arial" w:hAnsi="Arial" w:cs="Arial"/>
        </w:rPr>
      </w:pPr>
      <w:r w:rsidRPr="0091782C">
        <w:rPr>
          <w:rFonts w:ascii="Arial" w:hAnsi="Arial" w:cs="Arial"/>
        </w:rPr>
        <w:t xml:space="preserve">Apart from </w:t>
      </w:r>
      <w:r>
        <w:rPr>
          <w:rFonts w:ascii="Arial" w:hAnsi="Arial" w:cs="Arial"/>
        </w:rPr>
        <w:t xml:space="preserve">the merging parties, </w:t>
      </w:r>
      <w:r w:rsidRPr="0091782C">
        <w:rPr>
          <w:rFonts w:ascii="Arial" w:hAnsi="Arial" w:cs="Arial"/>
        </w:rPr>
        <w:t>NCS and Arkema SA</w:t>
      </w:r>
      <w:r>
        <w:rPr>
          <w:rFonts w:ascii="Arial" w:hAnsi="Arial" w:cs="Arial"/>
        </w:rPr>
        <w:t>,</w:t>
      </w:r>
      <w:r w:rsidRPr="0091782C">
        <w:rPr>
          <w:rFonts w:ascii="Arial" w:hAnsi="Arial" w:cs="Arial"/>
        </w:rPr>
        <w:t xml:space="preserve"> there are </w:t>
      </w:r>
      <w:r w:rsidR="00112BF8">
        <w:rPr>
          <w:rFonts w:ascii="Arial" w:hAnsi="Arial" w:cs="Arial"/>
        </w:rPr>
        <w:t xml:space="preserve">only </w:t>
      </w:r>
      <w:r w:rsidRPr="0091782C">
        <w:rPr>
          <w:rFonts w:ascii="Arial" w:hAnsi="Arial" w:cs="Arial"/>
        </w:rPr>
        <w:t>two other producers of UPR</w:t>
      </w:r>
      <w:r>
        <w:rPr>
          <w:rFonts w:ascii="Arial" w:hAnsi="Arial" w:cs="Arial"/>
        </w:rPr>
        <w:t xml:space="preserve"> in South Africa</w:t>
      </w:r>
      <w:r w:rsidRPr="0091782C">
        <w:rPr>
          <w:rFonts w:ascii="Arial" w:hAnsi="Arial" w:cs="Arial"/>
        </w:rPr>
        <w:t xml:space="preserve">, </w:t>
      </w:r>
      <w:r w:rsidR="00112BF8">
        <w:rPr>
          <w:rFonts w:ascii="Arial" w:hAnsi="Arial" w:cs="Arial"/>
        </w:rPr>
        <w:t xml:space="preserve">namely </w:t>
      </w:r>
      <w:r w:rsidRPr="0091782C">
        <w:rPr>
          <w:rFonts w:ascii="Arial" w:hAnsi="Arial" w:cs="Arial"/>
        </w:rPr>
        <w:t>Scott Bader and KZN Resins</w:t>
      </w:r>
      <w:r w:rsidR="005E52BC">
        <w:rPr>
          <w:rFonts w:ascii="Arial" w:hAnsi="Arial" w:cs="Arial"/>
        </w:rPr>
        <w:t xml:space="preserve"> (see paragraphs </w:t>
      </w:r>
      <w:r w:rsidR="005E52BC" w:rsidRPr="00310CB0">
        <w:rPr>
          <w:rFonts w:ascii="Arial" w:hAnsi="Arial" w:cs="Arial"/>
        </w:rPr>
        <w:t>17.</w:t>
      </w:r>
      <w:r w:rsidR="0098180A" w:rsidRPr="00310CB0">
        <w:rPr>
          <w:rFonts w:ascii="Arial" w:hAnsi="Arial" w:cs="Arial"/>
        </w:rPr>
        <w:t>3</w:t>
      </w:r>
      <w:r w:rsidR="005E52BC" w:rsidRPr="00310CB0">
        <w:rPr>
          <w:rFonts w:ascii="Arial" w:hAnsi="Arial" w:cs="Arial"/>
        </w:rPr>
        <w:t xml:space="preserve"> and 17.</w:t>
      </w:r>
      <w:r w:rsidR="00310CB0">
        <w:rPr>
          <w:rFonts w:ascii="Arial" w:hAnsi="Arial" w:cs="Arial"/>
        </w:rPr>
        <w:t>10</w:t>
      </w:r>
      <w:r w:rsidR="005E52BC">
        <w:rPr>
          <w:rFonts w:ascii="Arial" w:hAnsi="Arial" w:cs="Arial"/>
        </w:rPr>
        <w:t xml:space="preserve"> above</w:t>
      </w:r>
      <w:r w:rsidR="00310CB0">
        <w:rPr>
          <w:rFonts w:ascii="Arial" w:hAnsi="Arial" w:cs="Arial"/>
        </w:rPr>
        <w:t xml:space="preserve"> respectively</w:t>
      </w:r>
      <w:r w:rsidR="005E52BC">
        <w:rPr>
          <w:rFonts w:ascii="Arial" w:hAnsi="Arial" w:cs="Arial"/>
        </w:rPr>
        <w:t>)</w:t>
      </w:r>
      <w:r w:rsidRPr="0091782C">
        <w:rPr>
          <w:rFonts w:ascii="Arial" w:hAnsi="Arial" w:cs="Arial"/>
        </w:rPr>
        <w:t xml:space="preserve">. </w:t>
      </w:r>
    </w:p>
    <w:p w:rsidR="00543F9C" w:rsidRDefault="00543F9C" w:rsidP="00543F9C">
      <w:pPr>
        <w:pStyle w:val="ListParagraph"/>
        <w:numPr>
          <w:ilvl w:val="0"/>
          <w:numId w:val="2"/>
        </w:numPr>
        <w:tabs>
          <w:tab w:val="num" w:pos="567"/>
        </w:tabs>
        <w:spacing w:after="240" w:line="360" w:lineRule="auto"/>
        <w:ind w:left="0" w:firstLine="0"/>
        <w:jc w:val="both"/>
        <w:rPr>
          <w:rFonts w:ascii="Arial" w:hAnsi="Arial" w:cs="Arial"/>
        </w:rPr>
      </w:pPr>
      <w:r w:rsidRPr="0091782C">
        <w:rPr>
          <w:rFonts w:ascii="Arial" w:hAnsi="Arial" w:cs="Arial"/>
        </w:rPr>
        <w:t xml:space="preserve">There are also </w:t>
      </w:r>
      <w:r>
        <w:rPr>
          <w:rFonts w:ascii="Arial" w:hAnsi="Arial" w:cs="Arial"/>
        </w:rPr>
        <w:t xml:space="preserve">certain </w:t>
      </w:r>
      <w:r w:rsidRPr="0091782C">
        <w:rPr>
          <w:rFonts w:ascii="Arial" w:hAnsi="Arial" w:cs="Arial"/>
        </w:rPr>
        <w:t xml:space="preserve">re-sellers and/or blenders active in the </w:t>
      </w:r>
      <w:r w:rsidR="00112BF8">
        <w:rPr>
          <w:rFonts w:ascii="Arial" w:hAnsi="Arial" w:cs="Arial"/>
        </w:rPr>
        <w:t>sale of UPR</w:t>
      </w:r>
      <w:r w:rsidRPr="0091782C">
        <w:rPr>
          <w:rFonts w:ascii="Arial" w:hAnsi="Arial" w:cs="Arial"/>
        </w:rPr>
        <w:t xml:space="preserve"> </w:t>
      </w:r>
      <w:r w:rsidR="005E52BC">
        <w:rPr>
          <w:rFonts w:ascii="Arial" w:hAnsi="Arial" w:cs="Arial"/>
        </w:rPr>
        <w:t xml:space="preserve">in South Africa </w:t>
      </w:r>
      <w:r w:rsidRPr="007D6EF9">
        <w:rPr>
          <w:rFonts w:ascii="Arial" w:hAnsi="Arial" w:cs="Arial"/>
          <w:i/>
        </w:rPr>
        <w:t>inter alia</w:t>
      </w:r>
      <w:r w:rsidRPr="0091782C">
        <w:rPr>
          <w:rFonts w:ascii="Arial" w:hAnsi="Arial" w:cs="Arial"/>
        </w:rPr>
        <w:t xml:space="preserve"> ADD Resins, Atlin</w:t>
      </w:r>
      <w:r w:rsidR="005E52BC">
        <w:rPr>
          <w:rFonts w:ascii="Arial" w:hAnsi="Arial" w:cs="Arial"/>
        </w:rPr>
        <w:t>,</w:t>
      </w:r>
      <w:r>
        <w:rPr>
          <w:rStyle w:val="FootnoteReference"/>
          <w:rFonts w:ascii="Arial" w:hAnsi="Arial" w:cs="Arial"/>
        </w:rPr>
        <w:footnoteReference w:id="14"/>
      </w:r>
      <w:r w:rsidRPr="0091782C">
        <w:rPr>
          <w:rFonts w:ascii="Arial" w:hAnsi="Arial" w:cs="Arial"/>
        </w:rPr>
        <w:t xml:space="preserve"> Canasia, Dura, Fowkes Brothers and Jushi. Several of the re-sellers import </w:t>
      </w:r>
      <w:r>
        <w:rPr>
          <w:rFonts w:ascii="Arial" w:hAnsi="Arial" w:cs="Arial"/>
        </w:rPr>
        <w:t xml:space="preserve">UPR </w:t>
      </w:r>
      <w:r w:rsidRPr="0091782C">
        <w:rPr>
          <w:rFonts w:ascii="Arial" w:hAnsi="Arial" w:cs="Arial"/>
        </w:rPr>
        <w:t xml:space="preserve">and distribute it in South Africa. </w:t>
      </w:r>
      <w:r w:rsidR="00112BF8" w:rsidRPr="0091782C">
        <w:rPr>
          <w:rFonts w:ascii="Arial" w:hAnsi="Arial" w:cs="Arial"/>
        </w:rPr>
        <w:t>The</w:t>
      </w:r>
      <w:r w:rsidR="00112BF8">
        <w:rPr>
          <w:rFonts w:ascii="Arial" w:hAnsi="Arial" w:cs="Arial"/>
        </w:rPr>
        <w:t xml:space="preserve"> blenders</w:t>
      </w:r>
      <w:r w:rsidR="00112BF8" w:rsidRPr="0091782C">
        <w:rPr>
          <w:rFonts w:ascii="Arial" w:hAnsi="Arial" w:cs="Arial"/>
        </w:rPr>
        <w:t xml:space="preserve"> source </w:t>
      </w:r>
      <w:r w:rsidR="004C2F01">
        <w:rPr>
          <w:rFonts w:ascii="Arial" w:hAnsi="Arial" w:cs="Arial"/>
        </w:rPr>
        <w:t xml:space="preserve">their </w:t>
      </w:r>
      <w:r w:rsidR="00112BF8" w:rsidRPr="0091782C">
        <w:rPr>
          <w:rFonts w:ascii="Arial" w:hAnsi="Arial" w:cs="Arial"/>
        </w:rPr>
        <w:t>base resin from domestic manufacturers and/or import base resin</w:t>
      </w:r>
      <w:r w:rsidR="00112BF8">
        <w:rPr>
          <w:rFonts w:ascii="Arial" w:hAnsi="Arial" w:cs="Arial"/>
        </w:rPr>
        <w:t xml:space="preserve"> and </w:t>
      </w:r>
      <w:r w:rsidRPr="0091782C">
        <w:rPr>
          <w:rFonts w:ascii="Arial" w:hAnsi="Arial" w:cs="Arial"/>
        </w:rPr>
        <w:t>operate blending plants</w:t>
      </w:r>
      <w:r w:rsidR="004C2F01">
        <w:rPr>
          <w:rFonts w:ascii="Arial" w:hAnsi="Arial" w:cs="Arial"/>
        </w:rPr>
        <w:t xml:space="preserve">, i.e. </w:t>
      </w:r>
      <w:r w:rsidRPr="0091782C">
        <w:rPr>
          <w:rFonts w:ascii="Arial" w:hAnsi="Arial" w:cs="Arial"/>
        </w:rPr>
        <w:t xml:space="preserve">they procure base resin which they then blend to create a range of resins which they sell to end-customers. </w:t>
      </w:r>
    </w:p>
    <w:p w:rsidR="007D6EF9" w:rsidRPr="004C5CB8" w:rsidRDefault="007D6EF9" w:rsidP="004C5CB8">
      <w:pPr>
        <w:pStyle w:val="ListParagraph"/>
        <w:spacing w:after="240" w:line="360" w:lineRule="auto"/>
        <w:ind w:left="0"/>
        <w:jc w:val="both"/>
        <w:rPr>
          <w:rFonts w:ascii="Arial" w:hAnsi="Arial" w:cs="Arial"/>
        </w:rPr>
      </w:pPr>
      <w:r w:rsidRPr="004C5CB8">
        <w:rPr>
          <w:rFonts w:ascii="Arial" w:hAnsi="Arial" w:cs="Arial"/>
          <w:b/>
          <w:i/>
        </w:rPr>
        <w:t>Raw materials</w:t>
      </w:r>
      <w:r w:rsidR="000A66A4" w:rsidRPr="004C5CB8">
        <w:rPr>
          <w:rFonts w:ascii="Arial" w:hAnsi="Arial" w:cs="Arial"/>
          <w:b/>
          <w:i/>
        </w:rPr>
        <w:t xml:space="preserve"> used in UPR</w:t>
      </w:r>
    </w:p>
    <w:p w:rsidR="004C5CB8" w:rsidRDefault="004C5CB8" w:rsidP="004C5CB8">
      <w:pPr>
        <w:pStyle w:val="ListParagraph"/>
        <w:numPr>
          <w:ilvl w:val="0"/>
          <w:numId w:val="2"/>
        </w:numPr>
        <w:tabs>
          <w:tab w:val="num" w:pos="567"/>
        </w:tabs>
        <w:spacing w:after="240" w:line="360" w:lineRule="auto"/>
        <w:ind w:left="0" w:firstLine="0"/>
        <w:jc w:val="both"/>
        <w:rPr>
          <w:rFonts w:ascii="Arial" w:hAnsi="Arial" w:cs="Arial"/>
        </w:rPr>
      </w:pPr>
      <w:r w:rsidRPr="000F16D2">
        <w:rPr>
          <w:rFonts w:ascii="Arial" w:hAnsi="Arial" w:cs="Arial"/>
        </w:rPr>
        <w:t xml:space="preserve">The raw materials used to produce UPR include </w:t>
      </w:r>
      <w:r w:rsidR="00F65E3F" w:rsidRPr="000F16D2">
        <w:rPr>
          <w:rFonts w:ascii="Arial" w:hAnsi="Arial" w:cs="Arial"/>
        </w:rPr>
        <w:t>styrene</w:t>
      </w:r>
      <w:r w:rsidR="00F65E3F">
        <w:rPr>
          <w:rFonts w:ascii="Arial" w:hAnsi="Arial" w:cs="Arial"/>
        </w:rPr>
        <w:t>;</w:t>
      </w:r>
      <w:r w:rsidR="00F65E3F" w:rsidRPr="000F16D2">
        <w:rPr>
          <w:rFonts w:ascii="Arial" w:hAnsi="Arial" w:cs="Arial"/>
        </w:rPr>
        <w:t xml:space="preserve"> </w:t>
      </w:r>
      <w:r w:rsidRPr="000F16D2">
        <w:rPr>
          <w:rFonts w:ascii="Arial" w:hAnsi="Arial" w:cs="Arial"/>
        </w:rPr>
        <w:t xml:space="preserve">maleic anhydride (“MA”); phthalic anhydride (“PA”); IPA; </w:t>
      </w:r>
      <w:r w:rsidR="00F65E3F">
        <w:rPr>
          <w:rFonts w:ascii="Arial" w:hAnsi="Arial" w:cs="Arial"/>
        </w:rPr>
        <w:t xml:space="preserve">and </w:t>
      </w:r>
      <w:r w:rsidRPr="000F16D2">
        <w:rPr>
          <w:rFonts w:ascii="Arial" w:hAnsi="Arial" w:cs="Arial"/>
        </w:rPr>
        <w:t>glycols. These raw materials account for a very significant share of the production costs of UPRs</w:t>
      </w:r>
      <w:r w:rsidR="00FE75D8">
        <w:rPr>
          <w:rFonts w:ascii="Arial" w:hAnsi="Arial" w:cs="Arial"/>
        </w:rPr>
        <w:t>.</w:t>
      </w:r>
      <w:r>
        <w:rPr>
          <w:rStyle w:val="FootnoteReference"/>
          <w:rFonts w:ascii="Arial" w:hAnsi="Arial" w:cs="Arial"/>
        </w:rPr>
        <w:footnoteReference w:id="15"/>
      </w:r>
      <w:r w:rsidRPr="000F16D2">
        <w:rPr>
          <w:rFonts w:ascii="Arial" w:hAnsi="Arial" w:cs="Arial"/>
        </w:rPr>
        <w:t xml:space="preserve"> </w:t>
      </w:r>
      <w:r w:rsidR="00FE75D8">
        <w:rPr>
          <w:rFonts w:ascii="Arial" w:hAnsi="Arial" w:cs="Arial"/>
        </w:rPr>
        <w:t>M</w:t>
      </w:r>
      <w:r w:rsidRPr="000F16D2">
        <w:rPr>
          <w:rFonts w:ascii="Arial" w:hAnsi="Arial" w:cs="Arial"/>
        </w:rPr>
        <w:t xml:space="preserve">ost of these raw materials are imported </w:t>
      </w:r>
      <w:r w:rsidR="00F65E3F">
        <w:rPr>
          <w:rFonts w:ascii="Arial" w:hAnsi="Arial" w:cs="Arial"/>
        </w:rPr>
        <w:t xml:space="preserve">into South Africa </w:t>
      </w:r>
      <w:r w:rsidRPr="000F16D2">
        <w:rPr>
          <w:rFonts w:ascii="Arial" w:hAnsi="Arial" w:cs="Arial"/>
        </w:rPr>
        <w:t xml:space="preserve">or are sourced </w:t>
      </w:r>
      <w:r w:rsidR="00F65E3F">
        <w:rPr>
          <w:rFonts w:ascii="Arial" w:hAnsi="Arial" w:cs="Arial"/>
        </w:rPr>
        <w:t xml:space="preserve">by </w:t>
      </w:r>
      <w:r w:rsidR="00860B42">
        <w:rPr>
          <w:rFonts w:ascii="Arial" w:hAnsi="Arial" w:cs="Arial"/>
        </w:rPr>
        <w:t xml:space="preserve">the </w:t>
      </w:r>
      <w:r w:rsidR="00F65E3F">
        <w:rPr>
          <w:rFonts w:ascii="Arial" w:hAnsi="Arial" w:cs="Arial"/>
        </w:rPr>
        <w:t xml:space="preserve">local UPR producers </w:t>
      </w:r>
      <w:r w:rsidRPr="000F16D2">
        <w:rPr>
          <w:rFonts w:ascii="Arial" w:hAnsi="Arial" w:cs="Arial"/>
        </w:rPr>
        <w:t xml:space="preserve">at import parity prices. </w:t>
      </w:r>
      <w:r w:rsidRPr="007D22E9">
        <w:rPr>
          <w:rFonts w:ascii="Arial" w:hAnsi="Arial" w:cs="Arial"/>
        </w:rPr>
        <w:t>MA and PA</w:t>
      </w:r>
      <w:r>
        <w:rPr>
          <w:rFonts w:ascii="Arial" w:hAnsi="Arial" w:cs="Arial"/>
        </w:rPr>
        <w:t>, which</w:t>
      </w:r>
      <w:r w:rsidRPr="007D22E9">
        <w:rPr>
          <w:rFonts w:ascii="Arial" w:hAnsi="Arial" w:cs="Arial"/>
        </w:rPr>
        <w:t xml:space="preserve"> constitute approximately 30</w:t>
      </w:r>
      <w:r w:rsidR="00860B42">
        <w:rPr>
          <w:rFonts w:ascii="Arial" w:hAnsi="Arial" w:cs="Arial"/>
        </w:rPr>
        <w:t xml:space="preserve">% to </w:t>
      </w:r>
      <w:r w:rsidRPr="007D22E9">
        <w:rPr>
          <w:rFonts w:ascii="Arial" w:hAnsi="Arial" w:cs="Arial"/>
        </w:rPr>
        <w:t xml:space="preserve">40% of </w:t>
      </w:r>
      <w:r>
        <w:rPr>
          <w:rFonts w:ascii="Arial" w:hAnsi="Arial" w:cs="Arial"/>
        </w:rPr>
        <w:t xml:space="preserve">the UPR </w:t>
      </w:r>
      <w:r w:rsidRPr="007D22E9">
        <w:rPr>
          <w:rFonts w:ascii="Arial" w:hAnsi="Arial" w:cs="Arial"/>
        </w:rPr>
        <w:t>raw material inputs</w:t>
      </w:r>
      <w:r>
        <w:rPr>
          <w:rFonts w:ascii="Arial" w:hAnsi="Arial" w:cs="Arial"/>
        </w:rPr>
        <w:t>,</w:t>
      </w:r>
      <w:r w:rsidRPr="007D22E9">
        <w:rPr>
          <w:rFonts w:ascii="Arial" w:hAnsi="Arial" w:cs="Arial"/>
        </w:rPr>
        <w:t xml:space="preserve"> are sourced locally from Isegen, </w:t>
      </w:r>
      <w:r w:rsidR="00F65E3F">
        <w:rPr>
          <w:rFonts w:ascii="Arial" w:hAnsi="Arial" w:cs="Arial"/>
        </w:rPr>
        <w:t>a</w:t>
      </w:r>
      <w:r w:rsidRPr="007D22E9">
        <w:rPr>
          <w:rFonts w:ascii="Arial" w:hAnsi="Arial" w:cs="Arial"/>
        </w:rPr>
        <w:t xml:space="preserve"> monopoly supplier of th</w:t>
      </w:r>
      <w:r>
        <w:rPr>
          <w:rFonts w:ascii="Arial" w:hAnsi="Arial" w:cs="Arial"/>
        </w:rPr>
        <w:t>ese</w:t>
      </w:r>
      <w:r w:rsidRPr="007D22E9">
        <w:rPr>
          <w:rFonts w:ascii="Arial" w:hAnsi="Arial" w:cs="Arial"/>
        </w:rPr>
        <w:t xml:space="preserve"> </w:t>
      </w:r>
      <w:r>
        <w:rPr>
          <w:rFonts w:ascii="Arial" w:hAnsi="Arial" w:cs="Arial"/>
        </w:rPr>
        <w:t xml:space="preserve">two </w:t>
      </w:r>
      <w:r w:rsidRPr="007D22E9">
        <w:rPr>
          <w:rFonts w:ascii="Arial" w:hAnsi="Arial" w:cs="Arial"/>
        </w:rPr>
        <w:t>raw material</w:t>
      </w:r>
      <w:r>
        <w:rPr>
          <w:rFonts w:ascii="Arial" w:hAnsi="Arial" w:cs="Arial"/>
        </w:rPr>
        <w:t>s</w:t>
      </w:r>
      <w:r w:rsidR="00F65E3F" w:rsidRPr="00F65E3F">
        <w:rPr>
          <w:rFonts w:ascii="Arial" w:hAnsi="Arial" w:cs="Arial"/>
        </w:rPr>
        <w:t xml:space="preserve"> </w:t>
      </w:r>
      <w:r w:rsidR="00F65E3F" w:rsidRPr="007D22E9">
        <w:rPr>
          <w:rFonts w:ascii="Arial" w:hAnsi="Arial" w:cs="Arial"/>
        </w:rPr>
        <w:t>in South Africa</w:t>
      </w:r>
      <w:r>
        <w:rPr>
          <w:rFonts w:ascii="Arial" w:hAnsi="Arial" w:cs="Arial"/>
        </w:rPr>
        <w:t xml:space="preserve">. A number of witnesses indicated that Isegen </w:t>
      </w:r>
      <w:r w:rsidRPr="007D22E9">
        <w:rPr>
          <w:rFonts w:ascii="Arial" w:hAnsi="Arial" w:cs="Arial"/>
        </w:rPr>
        <w:t xml:space="preserve">prices at import parity </w:t>
      </w:r>
      <w:r>
        <w:rPr>
          <w:rFonts w:ascii="Arial" w:hAnsi="Arial" w:cs="Arial"/>
        </w:rPr>
        <w:t>and i</w:t>
      </w:r>
      <w:r w:rsidRPr="007D22E9">
        <w:rPr>
          <w:rFonts w:ascii="Arial" w:hAnsi="Arial" w:cs="Arial"/>
        </w:rPr>
        <w:t xml:space="preserve">n </w:t>
      </w:r>
      <w:r w:rsidR="00024A96">
        <w:rPr>
          <w:rFonts w:ascii="Arial" w:hAnsi="Arial" w:cs="Arial"/>
        </w:rPr>
        <w:t>arriving at</w:t>
      </w:r>
      <w:r w:rsidR="00024A96" w:rsidRPr="007D22E9">
        <w:rPr>
          <w:rFonts w:ascii="Arial" w:hAnsi="Arial" w:cs="Arial"/>
        </w:rPr>
        <w:t xml:space="preserve"> </w:t>
      </w:r>
      <w:r w:rsidRPr="007D22E9">
        <w:rPr>
          <w:rFonts w:ascii="Arial" w:hAnsi="Arial" w:cs="Arial"/>
        </w:rPr>
        <w:t xml:space="preserve">its import parity price, </w:t>
      </w:r>
      <w:r>
        <w:rPr>
          <w:rFonts w:ascii="Arial" w:hAnsi="Arial" w:cs="Arial"/>
        </w:rPr>
        <w:t xml:space="preserve">allegedly </w:t>
      </w:r>
      <w:r w:rsidRPr="007D22E9">
        <w:rPr>
          <w:rFonts w:ascii="Arial" w:hAnsi="Arial" w:cs="Arial"/>
        </w:rPr>
        <w:t xml:space="preserve">also includes the 15% duty which is imposed </w:t>
      </w:r>
      <w:r w:rsidR="00882AF5">
        <w:rPr>
          <w:rFonts w:ascii="Arial" w:hAnsi="Arial" w:cs="Arial"/>
        </w:rPr>
        <w:t>on</w:t>
      </w:r>
      <w:r w:rsidRPr="007D22E9">
        <w:rPr>
          <w:rFonts w:ascii="Arial" w:hAnsi="Arial" w:cs="Arial"/>
        </w:rPr>
        <w:t xml:space="preserve"> imports of MA and PA into South Africa</w:t>
      </w:r>
      <w:r>
        <w:rPr>
          <w:rFonts w:ascii="Arial" w:hAnsi="Arial" w:cs="Arial"/>
        </w:rPr>
        <w:t>.</w:t>
      </w:r>
      <w:r>
        <w:rPr>
          <w:rStyle w:val="FootnoteReference"/>
          <w:rFonts w:ascii="Arial" w:hAnsi="Arial" w:cs="Arial"/>
        </w:rPr>
        <w:footnoteReference w:id="16"/>
      </w:r>
      <w:r>
        <w:rPr>
          <w:rFonts w:ascii="Arial" w:hAnsi="Arial" w:cs="Arial"/>
        </w:rPr>
        <w:t xml:space="preserve"> Furthermore, r</w:t>
      </w:r>
      <w:r w:rsidRPr="000F16D2">
        <w:rPr>
          <w:rFonts w:ascii="Arial" w:hAnsi="Arial" w:cs="Arial"/>
        </w:rPr>
        <w:t>aw materials</w:t>
      </w:r>
      <w:r>
        <w:rPr>
          <w:rFonts w:ascii="Arial" w:hAnsi="Arial" w:cs="Arial"/>
        </w:rPr>
        <w:t xml:space="preserve"> such </w:t>
      </w:r>
      <w:r>
        <w:rPr>
          <w:rFonts w:ascii="Arial" w:hAnsi="Arial" w:cs="Arial"/>
        </w:rPr>
        <w:lastRenderedPageBreak/>
        <w:t>as styrene and glycol</w:t>
      </w:r>
      <w:r w:rsidRPr="000F16D2">
        <w:rPr>
          <w:rFonts w:ascii="Arial" w:hAnsi="Arial" w:cs="Arial"/>
        </w:rPr>
        <w:t xml:space="preserve"> are </w:t>
      </w:r>
      <w:r>
        <w:rPr>
          <w:rFonts w:ascii="Arial" w:hAnsi="Arial" w:cs="Arial"/>
        </w:rPr>
        <w:t>imported</w:t>
      </w:r>
      <w:r w:rsidR="00860B42">
        <w:rPr>
          <w:rFonts w:ascii="Arial" w:hAnsi="Arial" w:cs="Arial"/>
        </w:rPr>
        <w:t>.</w:t>
      </w:r>
      <w:r w:rsidRPr="000F16D2">
        <w:rPr>
          <w:rFonts w:ascii="Arial" w:hAnsi="Arial" w:cs="Arial"/>
        </w:rPr>
        <w:t xml:space="preserve"> </w:t>
      </w:r>
      <w:r w:rsidR="00860B42">
        <w:rPr>
          <w:rFonts w:ascii="Arial" w:hAnsi="Arial" w:cs="Arial"/>
        </w:rPr>
        <w:t>Given these imports</w:t>
      </w:r>
      <w:r w:rsidR="00FE75D8">
        <w:rPr>
          <w:rFonts w:ascii="Arial" w:hAnsi="Arial" w:cs="Arial"/>
        </w:rPr>
        <w:t>,</w:t>
      </w:r>
      <w:r w:rsidR="00860B42">
        <w:rPr>
          <w:rFonts w:ascii="Arial" w:hAnsi="Arial" w:cs="Arial"/>
        </w:rPr>
        <w:t xml:space="preserve"> </w:t>
      </w:r>
      <w:r w:rsidRPr="000F16D2">
        <w:rPr>
          <w:rFonts w:ascii="Arial" w:hAnsi="Arial" w:cs="Arial"/>
        </w:rPr>
        <w:t>South African UPR producers are heavily affected by exchange rate</w:t>
      </w:r>
      <w:r w:rsidR="00C814EC">
        <w:rPr>
          <w:rFonts w:ascii="Arial" w:hAnsi="Arial" w:cs="Arial"/>
        </w:rPr>
        <w:t xml:space="preserve"> fluctuations</w:t>
      </w:r>
      <w:r w:rsidRPr="000F16D2">
        <w:rPr>
          <w:rFonts w:ascii="Arial" w:hAnsi="Arial" w:cs="Arial"/>
        </w:rPr>
        <w:t>.</w:t>
      </w:r>
      <w:r>
        <w:rPr>
          <w:rStyle w:val="FootnoteReference"/>
          <w:rFonts w:ascii="Arial" w:hAnsi="Arial" w:cs="Arial"/>
        </w:rPr>
        <w:footnoteReference w:id="17"/>
      </w:r>
      <w:r w:rsidRPr="000F16D2">
        <w:rPr>
          <w:rFonts w:ascii="Arial" w:hAnsi="Arial" w:cs="Arial"/>
        </w:rPr>
        <w:t xml:space="preserve">  </w:t>
      </w:r>
    </w:p>
    <w:p w:rsidR="004C5CB8" w:rsidRDefault="004C5CB8" w:rsidP="004C5CB8">
      <w:pPr>
        <w:pStyle w:val="ListParagraph"/>
        <w:numPr>
          <w:ilvl w:val="0"/>
          <w:numId w:val="2"/>
        </w:numPr>
        <w:tabs>
          <w:tab w:val="num" w:pos="567"/>
        </w:tabs>
        <w:spacing w:after="240" w:line="360" w:lineRule="auto"/>
        <w:ind w:left="0" w:firstLine="0"/>
        <w:jc w:val="both"/>
        <w:rPr>
          <w:rFonts w:ascii="Arial" w:hAnsi="Arial" w:cs="Arial"/>
        </w:rPr>
      </w:pPr>
      <w:r>
        <w:rPr>
          <w:rFonts w:ascii="Arial" w:hAnsi="Arial" w:cs="Arial"/>
        </w:rPr>
        <w:t xml:space="preserve">These raw materials and their prices are </w:t>
      </w:r>
      <w:r w:rsidR="00C814EC">
        <w:rPr>
          <w:rFonts w:ascii="Arial" w:hAnsi="Arial" w:cs="Arial"/>
        </w:rPr>
        <w:t xml:space="preserve">therefore </w:t>
      </w:r>
      <w:r>
        <w:rPr>
          <w:rFonts w:ascii="Arial" w:hAnsi="Arial" w:cs="Arial"/>
        </w:rPr>
        <w:t xml:space="preserve">of relevance to the pricing of UPR in South Africa and thus </w:t>
      </w:r>
      <w:r w:rsidR="00F65E3F">
        <w:rPr>
          <w:rFonts w:ascii="Arial" w:hAnsi="Arial" w:cs="Arial"/>
        </w:rPr>
        <w:t xml:space="preserve">are </w:t>
      </w:r>
      <w:r>
        <w:rPr>
          <w:rFonts w:ascii="Arial" w:hAnsi="Arial" w:cs="Arial"/>
        </w:rPr>
        <w:t>of particular relevance to the pricing remedy</w:t>
      </w:r>
      <w:r>
        <w:rPr>
          <w:rStyle w:val="FootnoteReference"/>
          <w:rFonts w:ascii="Arial" w:hAnsi="Arial" w:cs="Arial"/>
        </w:rPr>
        <w:footnoteReference w:id="18"/>
      </w:r>
      <w:r>
        <w:rPr>
          <w:rFonts w:ascii="Arial" w:hAnsi="Arial" w:cs="Arial"/>
        </w:rPr>
        <w:t xml:space="preserve"> </w:t>
      </w:r>
      <w:r w:rsidR="00492246">
        <w:rPr>
          <w:rFonts w:ascii="Arial" w:hAnsi="Arial" w:cs="Arial"/>
        </w:rPr>
        <w:t>(</w:t>
      </w:r>
      <w:r w:rsidR="00E77BBF">
        <w:rPr>
          <w:rFonts w:ascii="Arial" w:hAnsi="Arial" w:cs="Arial"/>
        </w:rPr>
        <w:t>relating to the UPR mining segment</w:t>
      </w:r>
      <w:r w:rsidR="00492246">
        <w:rPr>
          <w:rFonts w:ascii="Arial" w:hAnsi="Arial" w:cs="Arial"/>
        </w:rPr>
        <w:t>)</w:t>
      </w:r>
      <w:r w:rsidR="00E77BBF">
        <w:rPr>
          <w:rFonts w:ascii="Arial" w:hAnsi="Arial" w:cs="Arial"/>
        </w:rPr>
        <w:t xml:space="preserve"> </w:t>
      </w:r>
      <w:r>
        <w:rPr>
          <w:rFonts w:ascii="Arial" w:hAnsi="Arial" w:cs="Arial"/>
        </w:rPr>
        <w:t>that we have imposed, as explained in detail below.</w:t>
      </w:r>
    </w:p>
    <w:p w:rsidR="006836F0" w:rsidRDefault="006836F0" w:rsidP="004C5CB8">
      <w:pPr>
        <w:pStyle w:val="ListParagraph"/>
        <w:numPr>
          <w:ilvl w:val="0"/>
          <w:numId w:val="2"/>
        </w:numPr>
        <w:tabs>
          <w:tab w:val="num" w:pos="567"/>
        </w:tabs>
        <w:spacing w:after="240" w:line="360" w:lineRule="auto"/>
        <w:ind w:left="0" w:firstLine="0"/>
        <w:jc w:val="both"/>
        <w:rPr>
          <w:rFonts w:ascii="Arial" w:hAnsi="Arial" w:cs="Arial"/>
        </w:rPr>
      </w:pPr>
      <w:r>
        <w:rPr>
          <w:rFonts w:ascii="Arial" w:hAnsi="Arial" w:cs="Arial"/>
        </w:rPr>
        <w:t>We note that the evidence has shown that</w:t>
      </w:r>
      <w:r w:rsidR="004E0241">
        <w:rPr>
          <w:rFonts w:ascii="Arial" w:hAnsi="Arial" w:cs="Arial"/>
        </w:rPr>
        <w:t xml:space="preserve">, for example, </w:t>
      </w:r>
      <w:r>
        <w:rPr>
          <w:rFonts w:ascii="Arial" w:hAnsi="Arial" w:cs="Arial"/>
        </w:rPr>
        <w:t xml:space="preserve">Minova’s </w:t>
      </w:r>
      <w:r w:rsidRPr="00F60020">
        <w:rPr>
          <w:rFonts w:ascii="Arial" w:hAnsi="Arial" w:cs="Arial"/>
        </w:rPr>
        <w:t>global procurement team looks at the range of commodities that are used in Minova’s various inputs and assesses those prices and compares them to the domestic price by conducting benchmarking exercises against the prices which Minova achieves in other parts of the world.</w:t>
      </w:r>
      <w:r>
        <w:rPr>
          <w:rStyle w:val="FootnoteReference"/>
          <w:rFonts w:ascii="Arial" w:hAnsi="Arial" w:cs="Arial"/>
        </w:rPr>
        <w:footnoteReference w:id="19"/>
      </w:r>
      <w:r w:rsidRPr="00F60020">
        <w:rPr>
          <w:rFonts w:ascii="Arial" w:hAnsi="Arial" w:cs="Arial"/>
        </w:rPr>
        <w:t xml:space="preserve"> For resin, the commodities which are tracked and globally benchmarked are styrene, glycol, MA and PA.</w:t>
      </w:r>
      <w:r>
        <w:rPr>
          <w:rStyle w:val="FootnoteReference"/>
          <w:rFonts w:ascii="Arial" w:hAnsi="Arial" w:cs="Arial"/>
        </w:rPr>
        <w:footnoteReference w:id="20"/>
      </w:r>
      <w:r w:rsidRPr="00F60020">
        <w:rPr>
          <w:rFonts w:ascii="Arial" w:hAnsi="Arial" w:cs="Arial"/>
        </w:rPr>
        <w:t xml:space="preserve"> As a result of this benchmarking exercise, Minova knows what proportion these raw materials constitute of </w:t>
      </w:r>
      <w:r>
        <w:rPr>
          <w:rFonts w:ascii="Arial" w:hAnsi="Arial" w:cs="Arial"/>
        </w:rPr>
        <w:t>the</w:t>
      </w:r>
      <w:r w:rsidRPr="00F60020">
        <w:rPr>
          <w:rFonts w:ascii="Arial" w:hAnsi="Arial" w:cs="Arial"/>
        </w:rPr>
        <w:t xml:space="preserve"> costs of </w:t>
      </w:r>
      <w:r>
        <w:rPr>
          <w:rFonts w:ascii="Arial" w:hAnsi="Arial" w:cs="Arial"/>
        </w:rPr>
        <w:t xml:space="preserve">UPR </w:t>
      </w:r>
      <w:r w:rsidRPr="00F60020">
        <w:rPr>
          <w:rFonts w:ascii="Arial" w:hAnsi="Arial" w:cs="Arial"/>
        </w:rPr>
        <w:t>produc</w:t>
      </w:r>
      <w:r>
        <w:rPr>
          <w:rFonts w:ascii="Arial" w:hAnsi="Arial" w:cs="Arial"/>
        </w:rPr>
        <w:t>tion</w:t>
      </w:r>
      <w:r w:rsidRPr="00F60020">
        <w:rPr>
          <w:rFonts w:ascii="Arial" w:hAnsi="Arial" w:cs="Arial"/>
        </w:rPr>
        <w:t xml:space="preserve"> </w:t>
      </w:r>
      <w:r>
        <w:rPr>
          <w:rFonts w:ascii="Arial" w:hAnsi="Arial" w:cs="Arial"/>
        </w:rPr>
        <w:t>and therefore can use this information in its price negotiation with local resin suppliers.</w:t>
      </w:r>
      <w:r>
        <w:rPr>
          <w:rStyle w:val="FootnoteReference"/>
          <w:rFonts w:ascii="Arial" w:hAnsi="Arial" w:cs="Arial"/>
        </w:rPr>
        <w:footnoteReference w:id="21"/>
      </w:r>
    </w:p>
    <w:p w:rsidR="00674EB9" w:rsidRPr="008279F7" w:rsidRDefault="00A9296B" w:rsidP="00674EB9">
      <w:pPr>
        <w:pStyle w:val="ListParagraph"/>
        <w:numPr>
          <w:ilvl w:val="0"/>
          <w:numId w:val="2"/>
        </w:numPr>
        <w:tabs>
          <w:tab w:val="num" w:pos="567"/>
        </w:tabs>
        <w:spacing w:after="240" w:line="360" w:lineRule="auto"/>
        <w:ind w:left="0" w:firstLine="0"/>
        <w:jc w:val="both"/>
        <w:rPr>
          <w:rFonts w:ascii="Arial" w:hAnsi="Arial" w:cs="Arial"/>
        </w:rPr>
      </w:pPr>
      <w:r w:rsidRPr="008279F7">
        <w:rPr>
          <w:rFonts w:ascii="Arial" w:hAnsi="Arial" w:cs="Arial"/>
        </w:rPr>
        <w:t xml:space="preserve">Similarly, </w:t>
      </w:r>
      <w:r w:rsidR="00F6674F" w:rsidRPr="008279F7">
        <w:rPr>
          <w:rFonts w:ascii="Arial" w:hAnsi="Arial" w:cs="Arial"/>
        </w:rPr>
        <w:t>Hahn of Rocbolt</w:t>
      </w:r>
      <w:r w:rsidR="00AB1F29" w:rsidRPr="008279F7">
        <w:rPr>
          <w:rFonts w:ascii="Arial" w:hAnsi="Arial" w:cs="Arial"/>
        </w:rPr>
        <w:t xml:space="preserve">’s evidence was that </w:t>
      </w:r>
      <w:r w:rsidR="00674EB9" w:rsidRPr="008279F7">
        <w:rPr>
          <w:rFonts w:ascii="Arial" w:hAnsi="Arial" w:cs="Arial"/>
        </w:rPr>
        <w:t xml:space="preserve">he </w:t>
      </w:r>
      <w:r w:rsidR="00493177" w:rsidRPr="008279F7">
        <w:rPr>
          <w:rFonts w:ascii="Arial" w:hAnsi="Arial" w:cs="Arial"/>
        </w:rPr>
        <w:t xml:space="preserve">analyses the effect of changes in the exchange rate and international raw material prices on local UPR prices. He </w:t>
      </w:r>
      <w:r w:rsidR="000F5246" w:rsidRPr="008279F7">
        <w:rPr>
          <w:rFonts w:ascii="Arial" w:hAnsi="Arial" w:cs="Arial"/>
        </w:rPr>
        <w:t xml:space="preserve">stated that he </w:t>
      </w:r>
      <w:r w:rsidR="00674EB9" w:rsidRPr="008279F7">
        <w:rPr>
          <w:rFonts w:ascii="Arial" w:hAnsi="Arial" w:cs="Arial"/>
        </w:rPr>
        <w:t>compare</w:t>
      </w:r>
      <w:r w:rsidR="00493177" w:rsidRPr="008279F7">
        <w:rPr>
          <w:rFonts w:ascii="Arial" w:hAnsi="Arial" w:cs="Arial"/>
        </w:rPr>
        <w:t>d</w:t>
      </w:r>
      <w:r w:rsidR="00674EB9" w:rsidRPr="008279F7">
        <w:rPr>
          <w:rFonts w:ascii="Arial" w:hAnsi="Arial" w:cs="Arial"/>
        </w:rPr>
        <w:t xml:space="preserve"> the prices that he receive</w:t>
      </w:r>
      <w:r w:rsidR="00493177" w:rsidRPr="008279F7">
        <w:rPr>
          <w:rFonts w:ascii="Arial" w:hAnsi="Arial" w:cs="Arial"/>
        </w:rPr>
        <w:t>d</w:t>
      </w:r>
      <w:r w:rsidR="00674EB9" w:rsidRPr="008279F7">
        <w:rPr>
          <w:rFonts w:ascii="Arial" w:hAnsi="Arial" w:cs="Arial"/>
        </w:rPr>
        <w:t xml:space="preserve"> from Arkema SA and NCS </w:t>
      </w:r>
      <w:r w:rsidR="00475C1E" w:rsidRPr="008279F7">
        <w:rPr>
          <w:rStyle w:val="CharacterStyle1"/>
          <w:spacing w:val="3"/>
          <w:sz w:val="24"/>
          <w:szCs w:val="24"/>
        </w:rPr>
        <w:t>since late 2012</w:t>
      </w:r>
      <w:r w:rsidR="00475C1E" w:rsidRPr="008279F7">
        <w:rPr>
          <w:rFonts w:ascii="Arial" w:hAnsi="Arial" w:cs="Arial"/>
        </w:rPr>
        <w:t xml:space="preserve"> to date </w:t>
      </w:r>
      <w:r w:rsidR="00674EB9" w:rsidRPr="008279F7">
        <w:rPr>
          <w:rFonts w:ascii="Arial" w:hAnsi="Arial" w:cs="Arial"/>
        </w:rPr>
        <w:t>against an equivalent price in the United States. He d</w:t>
      </w:r>
      <w:r w:rsidR="00493177" w:rsidRPr="008279F7">
        <w:rPr>
          <w:rFonts w:ascii="Arial" w:hAnsi="Arial" w:cs="Arial"/>
        </w:rPr>
        <w:t>id</w:t>
      </w:r>
      <w:r w:rsidR="00674EB9" w:rsidRPr="008279F7">
        <w:rPr>
          <w:rFonts w:ascii="Arial" w:hAnsi="Arial" w:cs="Arial"/>
        </w:rPr>
        <w:t xml:space="preserve"> this by converting the United States price for a UPR with a 30-second set-time (supplied to the Jennmar Corporation) into a Rand-based price and removing the cost of a sensitiser additive (DMPT) which is contained in the US product but not the UPR purchased locally.</w:t>
      </w:r>
      <w:r w:rsidR="00493177" w:rsidRPr="008279F7">
        <w:rPr>
          <w:rStyle w:val="FootnoteReference"/>
          <w:rFonts w:ascii="Arial" w:hAnsi="Arial" w:cs="Arial"/>
        </w:rPr>
        <w:footnoteReference w:id="22"/>
      </w:r>
      <w:r w:rsidR="00674EB9" w:rsidRPr="008279F7">
        <w:rPr>
          <w:rFonts w:ascii="Arial" w:hAnsi="Arial" w:cs="Arial"/>
        </w:rPr>
        <w:t xml:space="preserve">  </w:t>
      </w:r>
    </w:p>
    <w:p w:rsidR="003D6A85" w:rsidRDefault="00E50D25" w:rsidP="003D6A85">
      <w:pPr>
        <w:pStyle w:val="ListParagraph"/>
        <w:spacing w:after="240" w:line="360" w:lineRule="auto"/>
        <w:ind w:left="0"/>
        <w:jc w:val="both"/>
        <w:rPr>
          <w:rFonts w:ascii="Arial" w:hAnsi="Arial" w:cs="Arial"/>
          <w:b/>
        </w:rPr>
      </w:pPr>
      <w:r>
        <w:rPr>
          <w:rFonts w:ascii="Arial" w:hAnsi="Arial" w:cs="Arial"/>
          <w:b/>
        </w:rPr>
        <w:t xml:space="preserve">Relevant </w:t>
      </w:r>
      <w:r w:rsidR="00205904">
        <w:rPr>
          <w:rFonts w:ascii="Arial" w:hAnsi="Arial" w:cs="Arial"/>
          <w:b/>
        </w:rPr>
        <w:t xml:space="preserve">product and geographic </w:t>
      </w:r>
      <w:r>
        <w:rPr>
          <w:rFonts w:ascii="Arial" w:hAnsi="Arial" w:cs="Arial"/>
          <w:b/>
        </w:rPr>
        <w:t>m</w:t>
      </w:r>
      <w:r w:rsidR="007D6EF9">
        <w:rPr>
          <w:rFonts w:ascii="Arial" w:hAnsi="Arial" w:cs="Arial"/>
          <w:b/>
        </w:rPr>
        <w:t>arkets</w:t>
      </w:r>
    </w:p>
    <w:p w:rsidR="00F154A8" w:rsidRPr="00205904" w:rsidRDefault="00E50D25" w:rsidP="003D6A85">
      <w:pPr>
        <w:pStyle w:val="ListParagraph"/>
        <w:spacing w:after="240" w:line="360" w:lineRule="auto"/>
        <w:ind w:left="0"/>
        <w:jc w:val="both"/>
        <w:rPr>
          <w:rFonts w:ascii="Arial" w:hAnsi="Arial" w:cs="Arial"/>
          <w:b/>
          <w:i/>
        </w:rPr>
      </w:pPr>
      <w:r w:rsidRPr="00205904">
        <w:rPr>
          <w:rFonts w:ascii="Arial" w:hAnsi="Arial" w:cs="Arial"/>
          <w:b/>
          <w:i/>
        </w:rPr>
        <w:t>Product o</w:t>
      </w:r>
      <w:r w:rsidR="00F154A8" w:rsidRPr="00205904">
        <w:rPr>
          <w:rFonts w:ascii="Arial" w:hAnsi="Arial" w:cs="Arial"/>
          <w:b/>
          <w:i/>
        </w:rPr>
        <w:t>verlap</w:t>
      </w:r>
    </w:p>
    <w:p w:rsidR="008B24F6" w:rsidRPr="00CB0CD8" w:rsidRDefault="00AA0D6C" w:rsidP="0080582B">
      <w:pPr>
        <w:pStyle w:val="ListParagraph"/>
        <w:numPr>
          <w:ilvl w:val="0"/>
          <w:numId w:val="2"/>
        </w:numPr>
        <w:spacing w:after="240" w:line="360" w:lineRule="auto"/>
        <w:ind w:left="0" w:firstLine="0"/>
        <w:jc w:val="both"/>
        <w:rPr>
          <w:rFonts w:ascii="Arial" w:hAnsi="Arial" w:cs="Arial"/>
        </w:rPr>
      </w:pPr>
      <w:r w:rsidRPr="00CB0CD8">
        <w:rPr>
          <w:rFonts w:ascii="Arial" w:hAnsi="Arial" w:cs="Arial"/>
        </w:rPr>
        <w:t xml:space="preserve">The activities of the merging parties </w:t>
      </w:r>
      <w:r w:rsidR="00682EEF" w:rsidRPr="00CB0CD8">
        <w:rPr>
          <w:rFonts w:ascii="Arial" w:hAnsi="Arial" w:cs="Arial"/>
        </w:rPr>
        <w:t xml:space="preserve">horizontally </w:t>
      </w:r>
      <w:r w:rsidRPr="00CB0CD8">
        <w:rPr>
          <w:rFonts w:ascii="Arial" w:hAnsi="Arial" w:cs="Arial"/>
        </w:rPr>
        <w:t>overlap in the production and sale of UPRs, which</w:t>
      </w:r>
      <w:r w:rsidR="00682EEF" w:rsidRPr="00CB0CD8">
        <w:rPr>
          <w:rFonts w:ascii="Arial" w:hAnsi="Arial" w:cs="Arial"/>
        </w:rPr>
        <w:t>, as stated above,</w:t>
      </w:r>
      <w:r w:rsidRPr="00CB0CD8">
        <w:rPr>
          <w:rFonts w:ascii="Arial" w:hAnsi="Arial" w:cs="Arial"/>
        </w:rPr>
        <w:t xml:space="preserve"> are used in a variety of applications. </w:t>
      </w:r>
      <w:r w:rsidR="008B24F6" w:rsidRPr="00CB0CD8">
        <w:rPr>
          <w:rFonts w:ascii="Arial" w:hAnsi="Arial" w:cs="Arial"/>
        </w:rPr>
        <w:t xml:space="preserve">It was common </w:t>
      </w:r>
      <w:r w:rsidR="008B24F6" w:rsidRPr="00CB0CD8">
        <w:rPr>
          <w:rFonts w:ascii="Arial" w:hAnsi="Arial" w:cs="Arial"/>
        </w:rPr>
        <w:lastRenderedPageBreak/>
        <w:t>cause that no vertical concerns arise from the proposed merger</w:t>
      </w:r>
      <w:r w:rsidR="00682EEF" w:rsidRPr="00CB0CD8">
        <w:rPr>
          <w:rFonts w:ascii="Arial" w:hAnsi="Arial" w:cs="Arial"/>
        </w:rPr>
        <w:t xml:space="preserve"> and </w:t>
      </w:r>
      <w:proofErr w:type="gramStart"/>
      <w:r w:rsidR="00F369EB" w:rsidRPr="00CB0CD8">
        <w:rPr>
          <w:rFonts w:ascii="Arial" w:hAnsi="Arial" w:cs="Arial"/>
        </w:rPr>
        <w:t>we</w:t>
      </w:r>
      <w:proofErr w:type="gramEnd"/>
      <w:r w:rsidR="00F369EB" w:rsidRPr="00CB0CD8">
        <w:rPr>
          <w:rFonts w:ascii="Arial" w:hAnsi="Arial" w:cs="Arial"/>
        </w:rPr>
        <w:t xml:space="preserve"> </w:t>
      </w:r>
      <w:r w:rsidR="00682EEF" w:rsidRPr="00CB0CD8">
        <w:rPr>
          <w:rFonts w:ascii="Arial" w:hAnsi="Arial" w:cs="Arial"/>
        </w:rPr>
        <w:t>therefore only deal with the horizontal overlap</w:t>
      </w:r>
      <w:r w:rsidR="008B24F6" w:rsidRPr="00CB0CD8">
        <w:rPr>
          <w:rFonts w:ascii="Arial" w:hAnsi="Arial" w:cs="Arial"/>
        </w:rPr>
        <w:t>.</w:t>
      </w:r>
    </w:p>
    <w:p w:rsidR="007F72EB" w:rsidRPr="007F72EB" w:rsidRDefault="00682EEF" w:rsidP="0080582B">
      <w:pPr>
        <w:pStyle w:val="ListParagraph"/>
        <w:numPr>
          <w:ilvl w:val="0"/>
          <w:numId w:val="2"/>
        </w:numPr>
        <w:spacing w:after="240" w:line="360" w:lineRule="auto"/>
        <w:ind w:left="0" w:firstLine="0"/>
        <w:jc w:val="both"/>
        <w:rPr>
          <w:rFonts w:ascii="Arial" w:hAnsi="Arial" w:cs="Arial"/>
        </w:rPr>
      </w:pPr>
      <w:r>
        <w:rPr>
          <w:rFonts w:ascii="Arial" w:hAnsi="Arial" w:cs="Arial"/>
        </w:rPr>
        <w:t>In terms of UPR</w:t>
      </w:r>
      <w:r w:rsidR="00CB0CD8">
        <w:rPr>
          <w:rFonts w:ascii="Arial" w:hAnsi="Arial" w:cs="Arial"/>
        </w:rPr>
        <w:t>s</w:t>
      </w:r>
      <w:r>
        <w:rPr>
          <w:rFonts w:ascii="Arial" w:hAnsi="Arial" w:cs="Arial"/>
        </w:rPr>
        <w:t>, t</w:t>
      </w:r>
      <w:r w:rsidR="00AA0D6C" w:rsidRPr="007F72EB">
        <w:rPr>
          <w:rFonts w:ascii="Arial" w:hAnsi="Arial" w:cs="Arial"/>
        </w:rPr>
        <w:t>he merging parties categorise</w:t>
      </w:r>
      <w:r>
        <w:rPr>
          <w:rFonts w:ascii="Arial" w:hAnsi="Arial" w:cs="Arial"/>
        </w:rPr>
        <w:t>d</w:t>
      </w:r>
      <w:r w:rsidR="00AA0D6C" w:rsidRPr="007F72EB">
        <w:rPr>
          <w:rFonts w:ascii="Arial" w:hAnsi="Arial" w:cs="Arial"/>
        </w:rPr>
        <w:t xml:space="preserve"> the various UPR customer segments into three broad categories</w:t>
      </w:r>
      <w:r w:rsidR="00CB0CD8">
        <w:rPr>
          <w:rFonts w:ascii="Arial" w:hAnsi="Arial" w:cs="Arial"/>
        </w:rPr>
        <w:t>:</w:t>
      </w:r>
      <w:r w:rsidR="00AA0D6C" w:rsidRPr="007F72EB">
        <w:rPr>
          <w:rFonts w:ascii="Arial" w:hAnsi="Arial" w:cs="Arial"/>
        </w:rPr>
        <w:t xml:space="preserve"> (i) mining customers, of which there currently are only two</w:t>
      </w:r>
      <w:r w:rsidR="004556ED">
        <w:rPr>
          <w:rFonts w:ascii="Arial" w:hAnsi="Arial" w:cs="Arial"/>
        </w:rPr>
        <w:t xml:space="preserve"> in South Africa</w:t>
      </w:r>
      <w:r w:rsidR="00AA0D6C" w:rsidRPr="007F72EB">
        <w:rPr>
          <w:rFonts w:ascii="Arial" w:hAnsi="Arial" w:cs="Arial"/>
        </w:rPr>
        <w:t>, Minova and Rocbolt</w:t>
      </w:r>
      <w:r w:rsidR="00675E38">
        <w:rPr>
          <w:rFonts w:ascii="Arial" w:hAnsi="Arial" w:cs="Arial"/>
        </w:rPr>
        <w:t xml:space="preserve"> (see paragraphs </w:t>
      </w:r>
      <w:r w:rsidR="00500623" w:rsidRPr="00500623">
        <w:rPr>
          <w:rFonts w:ascii="Arial" w:hAnsi="Arial" w:cs="Arial"/>
        </w:rPr>
        <w:t>17.1 and 17.2</w:t>
      </w:r>
      <w:r w:rsidR="00675E38">
        <w:rPr>
          <w:rFonts w:ascii="Arial" w:hAnsi="Arial" w:cs="Arial"/>
        </w:rPr>
        <w:t xml:space="preserve"> above)</w:t>
      </w:r>
      <w:r w:rsidR="00AA1E41" w:rsidRPr="007F72EB">
        <w:rPr>
          <w:rFonts w:ascii="Arial" w:hAnsi="Arial" w:cs="Arial"/>
        </w:rPr>
        <w:t xml:space="preserve">; (ii) customers with specialised resin requirements or </w:t>
      </w:r>
      <w:r w:rsidR="00C565C6">
        <w:rPr>
          <w:rFonts w:ascii="Arial" w:hAnsi="Arial" w:cs="Arial"/>
        </w:rPr>
        <w:t>who</w:t>
      </w:r>
      <w:r w:rsidR="00C565C6" w:rsidRPr="007F72EB">
        <w:rPr>
          <w:rFonts w:ascii="Arial" w:hAnsi="Arial" w:cs="Arial"/>
        </w:rPr>
        <w:t xml:space="preserve"> </w:t>
      </w:r>
      <w:r w:rsidR="00AA1E41" w:rsidRPr="007F72EB">
        <w:rPr>
          <w:rFonts w:ascii="Arial" w:hAnsi="Arial" w:cs="Arial"/>
        </w:rPr>
        <w:t xml:space="preserve">require resin of a specific quality or formulation, for example customers such as </w:t>
      </w:r>
      <w:r w:rsidR="00675E38" w:rsidRPr="007F72EB">
        <w:rPr>
          <w:rFonts w:ascii="Arial" w:hAnsi="Arial" w:cs="Arial"/>
        </w:rPr>
        <w:t>Elite Fibre</w:t>
      </w:r>
      <w:r w:rsidR="00675E38">
        <w:rPr>
          <w:rFonts w:ascii="Arial" w:hAnsi="Arial" w:cs="Arial"/>
        </w:rPr>
        <w:t>,</w:t>
      </w:r>
      <w:r w:rsidR="00675E38" w:rsidRPr="007F72EB">
        <w:rPr>
          <w:rFonts w:ascii="Arial" w:hAnsi="Arial" w:cs="Arial"/>
        </w:rPr>
        <w:t xml:space="preserve"> Pro</w:t>
      </w:r>
      <w:r w:rsidR="00C565C6">
        <w:rPr>
          <w:rFonts w:ascii="Arial" w:hAnsi="Arial" w:cs="Arial"/>
        </w:rPr>
        <w:t>f</w:t>
      </w:r>
      <w:r w:rsidR="00675E38" w:rsidRPr="007F72EB">
        <w:rPr>
          <w:rFonts w:ascii="Arial" w:hAnsi="Arial" w:cs="Arial"/>
        </w:rPr>
        <w:t>ibre</w:t>
      </w:r>
      <w:r w:rsidR="00675E38">
        <w:rPr>
          <w:rFonts w:ascii="Arial" w:hAnsi="Arial" w:cs="Arial"/>
        </w:rPr>
        <w:t xml:space="preserve">, </w:t>
      </w:r>
      <w:r w:rsidR="00675E38" w:rsidRPr="007F72EB">
        <w:rPr>
          <w:rFonts w:ascii="Arial" w:hAnsi="Arial" w:cs="Arial"/>
        </w:rPr>
        <w:t xml:space="preserve">Paintchem </w:t>
      </w:r>
      <w:r w:rsidR="00675E38">
        <w:rPr>
          <w:rFonts w:ascii="Arial" w:hAnsi="Arial" w:cs="Arial"/>
        </w:rPr>
        <w:t xml:space="preserve">and </w:t>
      </w:r>
      <w:r w:rsidR="00AA1E41" w:rsidRPr="007F72EB">
        <w:rPr>
          <w:rFonts w:ascii="Arial" w:hAnsi="Arial" w:cs="Arial"/>
        </w:rPr>
        <w:t>V&amp;A; and (i</w:t>
      </w:r>
      <w:r w:rsidR="00882AF5">
        <w:rPr>
          <w:rFonts w:ascii="Arial" w:hAnsi="Arial" w:cs="Arial"/>
        </w:rPr>
        <w:t>i</w:t>
      </w:r>
      <w:r w:rsidR="00AA1E41" w:rsidRPr="007F72EB">
        <w:rPr>
          <w:rFonts w:ascii="Arial" w:hAnsi="Arial" w:cs="Arial"/>
        </w:rPr>
        <w:t xml:space="preserve">i) </w:t>
      </w:r>
      <w:r w:rsidR="004429E2" w:rsidRPr="007F72EB">
        <w:rPr>
          <w:rFonts w:ascii="Arial" w:hAnsi="Arial" w:cs="Arial"/>
        </w:rPr>
        <w:t xml:space="preserve">customers who purchase general purpose UPR in its various forms. </w:t>
      </w:r>
      <w:r w:rsidR="006667BA" w:rsidRPr="007F72EB">
        <w:rPr>
          <w:rFonts w:ascii="Arial" w:hAnsi="Arial" w:cs="Arial"/>
        </w:rPr>
        <w:t xml:space="preserve">General purpose resin is a standard resin that can be used for many different types of applications. </w:t>
      </w:r>
      <w:r w:rsidR="007F72EB" w:rsidRPr="007F72EB">
        <w:rPr>
          <w:rFonts w:ascii="Arial" w:hAnsi="Arial" w:cs="Arial"/>
        </w:rPr>
        <w:t>It was common cause that th</w:t>
      </w:r>
      <w:r>
        <w:rPr>
          <w:rFonts w:ascii="Arial" w:hAnsi="Arial" w:cs="Arial"/>
        </w:rPr>
        <w:t>e latter</w:t>
      </w:r>
      <w:r w:rsidR="007F72EB" w:rsidRPr="007F72EB">
        <w:rPr>
          <w:rFonts w:ascii="Arial" w:hAnsi="Arial" w:cs="Arial"/>
        </w:rPr>
        <w:t xml:space="preserve"> segment of the market a</w:t>
      </w:r>
      <w:r w:rsidR="004E63A2">
        <w:rPr>
          <w:rFonts w:ascii="Arial" w:hAnsi="Arial" w:cs="Arial"/>
        </w:rPr>
        <w:t>cc</w:t>
      </w:r>
      <w:r w:rsidR="007F72EB" w:rsidRPr="007F72EB">
        <w:rPr>
          <w:rFonts w:ascii="Arial" w:hAnsi="Arial" w:cs="Arial"/>
        </w:rPr>
        <w:t>ounts for a significant portion of the UPR demand in South Africa, although the witnesses before the Tribunal did not agree on the exact size of th</w:t>
      </w:r>
      <w:r w:rsidR="00675E38">
        <w:rPr>
          <w:rFonts w:ascii="Arial" w:hAnsi="Arial" w:cs="Arial"/>
        </w:rPr>
        <w:t>is</w:t>
      </w:r>
      <w:r w:rsidR="007F72EB" w:rsidRPr="007F72EB">
        <w:rPr>
          <w:rFonts w:ascii="Arial" w:hAnsi="Arial" w:cs="Arial"/>
        </w:rPr>
        <w:t xml:space="preserve"> segment.</w:t>
      </w:r>
      <w:r w:rsidR="00CB0CD8">
        <w:rPr>
          <w:rStyle w:val="FootnoteReference"/>
          <w:rFonts w:ascii="Arial" w:hAnsi="Arial" w:cs="Arial"/>
        </w:rPr>
        <w:footnoteReference w:id="23"/>
      </w:r>
    </w:p>
    <w:p w:rsidR="0056133D" w:rsidRPr="001D0074" w:rsidRDefault="0056133D" w:rsidP="003D6A85">
      <w:pPr>
        <w:pStyle w:val="ListParagraph"/>
        <w:spacing w:after="240" w:line="360" w:lineRule="auto"/>
        <w:ind w:left="0" w:right="403"/>
        <w:jc w:val="both"/>
        <w:rPr>
          <w:rFonts w:ascii="Arial" w:hAnsi="Arial" w:cs="Arial"/>
          <w:b/>
          <w:i/>
        </w:rPr>
      </w:pPr>
      <w:r w:rsidRPr="001D0074">
        <w:rPr>
          <w:rFonts w:ascii="Arial" w:hAnsi="Arial" w:cs="Arial"/>
          <w:b/>
          <w:i/>
        </w:rPr>
        <w:t>Product market</w:t>
      </w:r>
      <w:r w:rsidR="00591022" w:rsidRPr="001D0074">
        <w:rPr>
          <w:rFonts w:ascii="Arial" w:hAnsi="Arial" w:cs="Arial"/>
          <w:b/>
          <w:i/>
        </w:rPr>
        <w:t>s</w:t>
      </w:r>
    </w:p>
    <w:p w:rsidR="00F154A8" w:rsidRDefault="009B5E72" w:rsidP="0080582B">
      <w:pPr>
        <w:pStyle w:val="ListParagraph"/>
        <w:numPr>
          <w:ilvl w:val="0"/>
          <w:numId w:val="2"/>
        </w:numPr>
        <w:spacing w:after="240" w:line="360" w:lineRule="auto"/>
        <w:ind w:left="0" w:firstLine="0"/>
        <w:jc w:val="both"/>
        <w:rPr>
          <w:rFonts w:ascii="Arial" w:hAnsi="Arial" w:cs="Arial"/>
        </w:rPr>
      </w:pPr>
      <w:r w:rsidRPr="00591022">
        <w:rPr>
          <w:rFonts w:ascii="Arial" w:hAnsi="Arial" w:cs="Arial"/>
        </w:rPr>
        <w:t xml:space="preserve">It was common cause that the relevant </w:t>
      </w:r>
      <w:r w:rsidR="00E036E3">
        <w:rPr>
          <w:rFonts w:ascii="Arial" w:hAnsi="Arial" w:cs="Arial"/>
        </w:rPr>
        <w:t xml:space="preserve">product </w:t>
      </w:r>
      <w:r w:rsidRPr="00591022">
        <w:rPr>
          <w:rFonts w:ascii="Arial" w:hAnsi="Arial" w:cs="Arial"/>
        </w:rPr>
        <w:t xml:space="preserve">market for the </w:t>
      </w:r>
      <w:r w:rsidR="00434A3C">
        <w:rPr>
          <w:rFonts w:ascii="Arial" w:hAnsi="Arial" w:cs="Arial"/>
        </w:rPr>
        <w:t xml:space="preserve">competition </w:t>
      </w:r>
      <w:r w:rsidRPr="00591022">
        <w:rPr>
          <w:rFonts w:ascii="Arial" w:hAnsi="Arial" w:cs="Arial"/>
        </w:rPr>
        <w:t>assessment of th</w:t>
      </w:r>
      <w:r w:rsidR="00205904">
        <w:rPr>
          <w:rFonts w:ascii="Arial" w:hAnsi="Arial" w:cs="Arial"/>
        </w:rPr>
        <w:t>e</w:t>
      </w:r>
      <w:r w:rsidRPr="00591022">
        <w:rPr>
          <w:rFonts w:ascii="Arial" w:hAnsi="Arial" w:cs="Arial"/>
        </w:rPr>
        <w:t xml:space="preserve"> </w:t>
      </w:r>
      <w:r w:rsidR="00205904">
        <w:rPr>
          <w:rFonts w:ascii="Arial" w:hAnsi="Arial" w:cs="Arial"/>
        </w:rPr>
        <w:t xml:space="preserve">proposed </w:t>
      </w:r>
      <w:r w:rsidRPr="00591022">
        <w:rPr>
          <w:rFonts w:ascii="Arial" w:hAnsi="Arial" w:cs="Arial"/>
        </w:rPr>
        <w:t xml:space="preserve">transaction </w:t>
      </w:r>
      <w:r w:rsidR="00184251">
        <w:rPr>
          <w:rFonts w:ascii="Arial" w:hAnsi="Arial" w:cs="Arial"/>
        </w:rPr>
        <w:t>wa</w:t>
      </w:r>
      <w:r w:rsidRPr="00591022">
        <w:rPr>
          <w:rFonts w:ascii="Arial" w:hAnsi="Arial" w:cs="Arial"/>
        </w:rPr>
        <w:t>s the production and sale of UPR</w:t>
      </w:r>
      <w:r w:rsidR="00F154A8">
        <w:rPr>
          <w:rFonts w:ascii="Arial" w:hAnsi="Arial" w:cs="Arial"/>
        </w:rPr>
        <w:t xml:space="preserve">, </w:t>
      </w:r>
      <w:r w:rsidR="00680014" w:rsidRPr="00591022">
        <w:rPr>
          <w:rFonts w:ascii="Arial" w:hAnsi="Arial" w:cs="Arial"/>
        </w:rPr>
        <w:t>includ</w:t>
      </w:r>
      <w:r w:rsidR="00F154A8">
        <w:rPr>
          <w:rFonts w:ascii="Arial" w:hAnsi="Arial" w:cs="Arial"/>
        </w:rPr>
        <w:t>ing</w:t>
      </w:r>
      <w:r w:rsidR="00680014" w:rsidRPr="00591022">
        <w:rPr>
          <w:rFonts w:ascii="Arial" w:hAnsi="Arial" w:cs="Arial"/>
        </w:rPr>
        <w:t xml:space="preserve"> </w:t>
      </w:r>
      <w:r w:rsidR="00F154A8">
        <w:rPr>
          <w:rFonts w:ascii="Arial" w:hAnsi="Arial" w:cs="Arial"/>
        </w:rPr>
        <w:t>t</w:t>
      </w:r>
      <w:r w:rsidR="00680014" w:rsidRPr="00591022">
        <w:rPr>
          <w:rFonts w:ascii="Arial" w:hAnsi="Arial" w:cs="Arial"/>
        </w:rPr>
        <w:t xml:space="preserve">he production and sale of </w:t>
      </w:r>
      <w:r w:rsidRPr="00591022">
        <w:rPr>
          <w:rFonts w:ascii="Arial" w:hAnsi="Arial" w:cs="Arial"/>
        </w:rPr>
        <w:t xml:space="preserve">gel coats. </w:t>
      </w:r>
    </w:p>
    <w:p w:rsidR="00C67E6B" w:rsidRDefault="00C67E6B" w:rsidP="0080582B">
      <w:pPr>
        <w:pStyle w:val="ListParagraph"/>
        <w:numPr>
          <w:ilvl w:val="0"/>
          <w:numId w:val="2"/>
        </w:numPr>
        <w:spacing w:after="240" w:line="360" w:lineRule="auto"/>
        <w:ind w:left="0" w:firstLine="0"/>
        <w:jc w:val="both"/>
        <w:rPr>
          <w:rFonts w:ascii="Arial" w:hAnsi="Arial" w:cs="Arial"/>
        </w:rPr>
      </w:pPr>
      <w:r w:rsidRPr="00591022">
        <w:rPr>
          <w:rFonts w:ascii="Arial" w:hAnsi="Arial" w:cs="Arial"/>
        </w:rPr>
        <w:t xml:space="preserve">The Commission however </w:t>
      </w:r>
      <w:r w:rsidR="00591022" w:rsidRPr="00591022">
        <w:rPr>
          <w:rFonts w:ascii="Arial" w:hAnsi="Arial" w:cs="Arial"/>
        </w:rPr>
        <w:t xml:space="preserve">also defined </w:t>
      </w:r>
      <w:r w:rsidRPr="00591022">
        <w:rPr>
          <w:rFonts w:ascii="Arial" w:hAnsi="Arial" w:cs="Arial"/>
        </w:rPr>
        <w:t>a narrower product market for UPR produced and sold for use in mining applications (</w:t>
      </w:r>
      <w:r w:rsidR="00591022" w:rsidRPr="00591022">
        <w:rPr>
          <w:rFonts w:ascii="Arial" w:hAnsi="Arial" w:cs="Arial"/>
        </w:rPr>
        <w:t xml:space="preserve">hereinafter </w:t>
      </w:r>
      <w:r w:rsidRPr="00591022">
        <w:rPr>
          <w:rFonts w:ascii="Arial" w:hAnsi="Arial" w:cs="Arial"/>
        </w:rPr>
        <w:t xml:space="preserve">“mining UPR”). </w:t>
      </w:r>
      <w:r w:rsidR="00F154A8">
        <w:rPr>
          <w:rFonts w:ascii="Arial" w:hAnsi="Arial" w:cs="Arial"/>
        </w:rPr>
        <w:t>We deal with this market segment immediately below.</w:t>
      </w:r>
    </w:p>
    <w:p w:rsidR="00EB7948" w:rsidRPr="00EB7948" w:rsidRDefault="00A71AA8" w:rsidP="0080582B">
      <w:pPr>
        <w:pStyle w:val="ListParagraph"/>
        <w:numPr>
          <w:ilvl w:val="0"/>
          <w:numId w:val="2"/>
        </w:numPr>
        <w:tabs>
          <w:tab w:val="num" w:pos="567"/>
        </w:tabs>
        <w:spacing w:after="240" w:line="360" w:lineRule="auto"/>
        <w:ind w:left="0" w:firstLine="0"/>
        <w:jc w:val="both"/>
        <w:rPr>
          <w:rFonts w:ascii="Arial" w:hAnsi="Arial" w:cs="Arial"/>
        </w:rPr>
      </w:pPr>
      <w:r>
        <w:rPr>
          <w:rFonts w:ascii="Arial" w:hAnsi="Arial" w:cs="Arial"/>
        </w:rPr>
        <w:t>The evidence indicated that a</w:t>
      </w:r>
      <w:r w:rsidR="00EB7948" w:rsidRPr="00EB7948">
        <w:rPr>
          <w:rFonts w:ascii="Arial" w:hAnsi="Arial" w:cs="Arial"/>
        </w:rPr>
        <w:t xml:space="preserve"> specialised UPR resin is used in the production of a rock bolt capsule which is used to anchor rock bolts in the roof of a mine tunnel or shaft. Th</w:t>
      </w:r>
      <w:r w:rsidR="00F154A8">
        <w:rPr>
          <w:rFonts w:ascii="Arial" w:hAnsi="Arial" w:cs="Arial"/>
        </w:rPr>
        <w:t>is</w:t>
      </w:r>
      <w:r w:rsidR="00EB7948" w:rsidRPr="00EB7948">
        <w:rPr>
          <w:rFonts w:ascii="Arial" w:hAnsi="Arial" w:cs="Arial"/>
        </w:rPr>
        <w:t xml:space="preserve"> capsule was described during </w:t>
      </w:r>
      <w:r w:rsidR="00F154A8">
        <w:rPr>
          <w:rFonts w:ascii="Arial" w:hAnsi="Arial" w:cs="Arial"/>
        </w:rPr>
        <w:t>our proceedings</w:t>
      </w:r>
      <w:r w:rsidR="00EB7948" w:rsidRPr="00EB7948">
        <w:rPr>
          <w:rFonts w:ascii="Arial" w:hAnsi="Arial" w:cs="Arial"/>
        </w:rPr>
        <w:t xml:space="preserve"> as a “sausage” and comprises a plastic skin and two component parts, a resin component and a catalyst component. These </w:t>
      </w:r>
      <w:r w:rsidR="00F154A8">
        <w:rPr>
          <w:rFonts w:ascii="Arial" w:hAnsi="Arial" w:cs="Arial"/>
        </w:rPr>
        <w:t xml:space="preserve">components </w:t>
      </w:r>
      <w:r w:rsidR="00882AF5">
        <w:rPr>
          <w:rFonts w:ascii="Arial" w:hAnsi="Arial" w:cs="Arial"/>
        </w:rPr>
        <w:t>remain</w:t>
      </w:r>
      <w:r w:rsidR="00882AF5" w:rsidRPr="00EB7948">
        <w:rPr>
          <w:rFonts w:ascii="Arial" w:hAnsi="Arial" w:cs="Arial"/>
        </w:rPr>
        <w:t xml:space="preserve"> </w:t>
      </w:r>
      <w:r w:rsidR="00EB7948" w:rsidRPr="00EB7948">
        <w:rPr>
          <w:rFonts w:ascii="Arial" w:hAnsi="Arial" w:cs="Arial"/>
        </w:rPr>
        <w:t xml:space="preserve">separated from each other in the capsule. When the rock bolt is inserted and “spun” through the capsule, it mixes the catalyst and the resin component and </w:t>
      </w:r>
      <w:r w:rsidR="00184251">
        <w:rPr>
          <w:rFonts w:ascii="Arial" w:hAnsi="Arial" w:cs="Arial"/>
        </w:rPr>
        <w:t>causes the resin to set</w:t>
      </w:r>
      <w:r w:rsidR="00EB7948" w:rsidRPr="00EB7948">
        <w:rPr>
          <w:rFonts w:ascii="Arial" w:hAnsi="Arial" w:cs="Arial"/>
        </w:rPr>
        <w:t xml:space="preserve"> (there are various setting times) and anchor</w:t>
      </w:r>
      <w:r w:rsidR="00882AF5">
        <w:rPr>
          <w:rFonts w:ascii="Arial" w:hAnsi="Arial" w:cs="Arial"/>
        </w:rPr>
        <w:t>s</w:t>
      </w:r>
      <w:r w:rsidR="00EB7948" w:rsidRPr="00EB7948">
        <w:rPr>
          <w:rFonts w:ascii="Arial" w:hAnsi="Arial" w:cs="Arial"/>
        </w:rPr>
        <w:t xml:space="preserve"> the rock bolt into the roof of the mine wall.  </w:t>
      </w:r>
    </w:p>
    <w:p w:rsidR="00146F37" w:rsidRPr="00205904" w:rsidRDefault="00F154A8" w:rsidP="0080582B">
      <w:pPr>
        <w:pStyle w:val="ListParagraph"/>
        <w:numPr>
          <w:ilvl w:val="0"/>
          <w:numId w:val="2"/>
        </w:numPr>
        <w:spacing w:after="240" w:line="360" w:lineRule="auto"/>
        <w:ind w:left="0" w:firstLine="0"/>
        <w:jc w:val="both"/>
        <w:rPr>
          <w:rFonts w:ascii="Arial" w:hAnsi="Arial" w:cs="Arial"/>
        </w:rPr>
      </w:pPr>
      <w:r w:rsidRPr="00205904">
        <w:rPr>
          <w:rFonts w:ascii="Arial" w:hAnsi="Arial" w:cs="Arial"/>
        </w:rPr>
        <w:lastRenderedPageBreak/>
        <w:t>I</w:t>
      </w:r>
      <w:r w:rsidR="00C67E6B" w:rsidRPr="00205904">
        <w:rPr>
          <w:rFonts w:ascii="Arial" w:hAnsi="Arial" w:cs="Arial"/>
        </w:rPr>
        <w:t xml:space="preserve">t was </w:t>
      </w:r>
      <w:r w:rsidR="005D5F77">
        <w:rPr>
          <w:rFonts w:ascii="Arial" w:hAnsi="Arial" w:cs="Arial"/>
        </w:rPr>
        <w:t xml:space="preserve">further </w:t>
      </w:r>
      <w:r w:rsidR="00C67E6B" w:rsidRPr="00205904">
        <w:rPr>
          <w:rFonts w:ascii="Arial" w:hAnsi="Arial" w:cs="Arial"/>
        </w:rPr>
        <w:t xml:space="preserve">common cause that there is no demand-side substitution </w:t>
      </w:r>
      <w:r w:rsidR="00591022" w:rsidRPr="00205904">
        <w:rPr>
          <w:rFonts w:ascii="Arial" w:hAnsi="Arial" w:cs="Arial"/>
        </w:rPr>
        <w:t xml:space="preserve">between mining UPR and </w:t>
      </w:r>
      <w:r w:rsidR="00C67E6B" w:rsidRPr="00205904">
        <w:rPr>
          <w:rFonts w:ascii="Arial" w:hAnsi="Arial" w:cs="Arial"/>
        </w:rPr>
        <w:t xml:space="preserve">UPRs in general since the mining customers have unique high specifications for the UPR </w:t>
      </w:r>
      <w:r w:rsidRPr="00205904">
        <w:rPr>
          <w:rFonts w:ascii="Arial" w:hAnsi="Arial" w:cs="Arial"/>
        </w:rPr>
        <w:t xml:space="preserve">that they </w:t>
      </w:r>
      <w:r w:rsidR="00C67E6B" w:rsidRPr="00205904">
        <w:rPr>
          <w:rFonts w:ascii="Arial" w:hAnsi="Arial" w:cs="Arial"/>
        </w:rPr>
        <w:t>use which are not met by other UPRs in the market.</w:t>
      </w:r>
      <w:r w:rsidR="00C67E6B">
        <w:rPr>
          <w:rStyle w:val="FootnoteReference"/>
          <w:rFonts w:ascii="Arial" w:hAnsi="Arial" w:cs="Arial"/>
        </w:rPr>
        <w:footnoteReference w:id="24"/>
      </w:r>
      <w:r w:rsidR="00C67E6B" w:rsidRPr="00205904">
        <w:rPr>
          <w:rFonts w:ascii="Arial" w:hAnsi="Arial" w:cs="Arial"/>
        </w:rPr>
        <w:t xml:space="preserve"> </w:t>
      </w:r>
      <w:r w:rsidR="002B06EF" w:rsidRPr="00205904">
        <w:rPr>
          <w:rFonts w:ascii="Arial" w:hAnsi="Arial" w:cs="Arial"/>
        </w:rPr>
        <w:t>Hahn confirmed that the UPR used in the manufacture of the encapsulated resin grout for mines has different specifications from the UPR used in industries such as for boats, pipes and swimming pools</w:t>
      </w:r>
      <w:r w:rsidR="002B06EF" w:rsidRPr="00205904">
        <w:rPr>
          <w:rFonts w:ascii="Arial" w:hAnsi="Arial"/>
        </w:rPr>
        <w:t>.</w:t>
      </w:r>
      <w:r w:rsidR="002B06EF">
        <w:rPr>
          <w:rStyle w:val="FootnoteReference"/>
          <w:rFonts w:ascii="Arial" w:hAnsi="Arial"/>
        </w:rPr>
        <w:footnoteReference w:id="25"/>
      </w:r>
      <w:r w:rsidR="002B06EF" w:rsidRPr="00205904">
        <w:rPr>
          <w:rFonts w:ascii="Arial" w:hAnsi="Arial"/>
        </w:rPr>
        <w:t xml:space="preserve"> He explained that </w:t>
      </w:r>
      <w:r w:rsidR="00282911">
        <w:rPr>
          <w:rFonts w:ascii="Arial" w:hAnsi="Arial" w:cs="Arial"/>
          <w:noProof/>
          <w:lang w:val="en-ZA" w:eastAsia="en-ZA"/>
        </w:rPr>
        <w:pict>
          <v:shape id="Text Box 40" o:spid="_x0000_s1027" type="#_x0000_t202" style="position:absolute;left:0;text-align:left;margin-left:0;margin-top:707.5pt;width:455pt;height:12.35pt;z-index:251715584;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" o:allowincell="f" stroked="f">
            <v:fill opacity="0"/>
            <v:textbox inset="0,0,0,0">
              <w:txbxContent>
                <w:p w:rsidR="00F02DA6" w:rsidRPr="00EB2666" w:rsidRDefault="00F02DA6" w:rsidP="00EB2666">
                  <w:pPr>
                    <w:rPr>
                      <w:rStyle w:val="CharacterStyle2"/>
                      <w:sz w:val="24"/>
                      <w:szCs w:val="22"/>
                    </w:rPr>
                  </w:pPr>
                </w:p>
              </w:txbxContent>
            </v:textbox>
            <w10:wrap type="square"/>
          </v:shape>
        </w:pict>
      </w:r>
      <w:r w:rsidR="002B06EF" w:rsidRPr="00205904">
        <w:rPr>
          <w:rFonts w:ascii="Arial" w:hAnsi="Arial"/>
        </w:rPr>
        <w:t>t</w:t>
      </w:r>
      <w:r w:rsidR="002B06EF" w:rsidRPr="00205904">
        <w:rPr>
          <w:rFonts w:ascii="Arial" w:hAnsi="Arial" w:cs="Arial"/>
        </w:rPr>
        <w:t xml:space="preserve">he resin grout produced using the mining UPR needs to have a longer shelf life and must be in accordance with </w:t>
      </w:r>
      <w:r w:rsidR="005D5F77">
        <w:rPr>
          <w:rFonts w:ascii="Arial" w:hAnsi="Arial" w:cs="Arial"/>
        </w:rPr>
        <w:t xml:space="preserve">certain </w:t>
      </w:r>
      <w:r w:rsidR="002B06EF" w:rsidRPr="00205904">
        <w:rPr>
          <w:rFonts w:ascii="Arial" w:hAnsi="Arial" w:cs="Arial"/>
        </w:rPr>
        <w:t>SABS specifications with the required strength parameters when it sets.</w:t>
      </w:r>
      <w:r w:rsidR="002B06EF">
        <w:rPr>
          <w:rStyle w:val="FootnoteReference"/>
          <w:rFonts w:ascii="Arial" w:hAnsi="Arial" w:cs="Arial"/>
        </w:rPr>
        <w:footnoteReference w:id="26"/>
      </w:r>
      <w:r w:rsidR="00205904" w:rsidRPr="00205904">
        <w:rPr>
          <w:rFonts w:ascii="Arial" w:hAnsi="Arial" w:cs="Arial"/>
        </w:rPr>
        <w:t xml:space="preserve"> </w:t>
      </w:r>
      <w:r w:rsidR="00146F37" w:rsidRPr="00205904">
        <w:rPr>
          <w:rFonts w:ascii="Arial" w:hAnsi="Arial" w:cs="Arial"/>
        </w:rPr>
        <w:t xml:space="preserve">Duma </w:t>
      </w:r>
      <w:r w:rsidR="00205904" w:rsidRPr="00205904">
        <w:rPr>
          <w:rFonts w:ascii="Arial" w:hAnsi="Arial" w:cs="Arial"/>
        </w:rPr>
        <w:t xml:space="preserve">confirmed </w:t>
      </w:r>
      <w:r w:rsidR="00146F37" w:rsidRPr="00205904">
        <w:rPr>
          <w:rFonts w:ascii="Arial" w:hAnsi="Arial" w:cs="Arial"/>
        </w:rPr>
        <w:t>that mining UPR requires both high reactivity and high stability and that other types of general purpose</w:t>
      </w:r>
      <w:r w:rsidR="00184251">
        <w:rPr>
          <w:rFonts w:ascii="Arial" w:hAnsi="Arial" w:cs="Arial"/>
        </w:rPr>
        <w:t>,</w:t>
      </w:r>
      <w:r w:rsidR="00146F37" w:rsidRPr="00205904">
        <w:rPr>
          <w:rFonts w:ascii="Arial" w:hAnsi="Arial" w:cs="Arial"/>
        </w:rPr>
        <w:t xml:space="preserve"> and even more specialised UPR such as that used in automotive, pools, sanitary ware, pipes and other such industries cannot be used in the rock bolting application for which mining UPR is used.</w:t>
      </w:r>
      <w:r w:rsidR="00146F37">
        <w:rPr>
          <w:rStyle w:val="FootnoteReference"/>
          <w:rFonts w:ascii="Arial" w:hAnsi="Arial" w:cs="Arial"/>
        </w:rPr>
        <w:footnoteReference w:id="27"/>
      </w:r>
      <w:r w:rsidR="00146F37" w:rsidRPr="00205904">
        <w:rPr>
          <w:rFonts w:ascii="Arial" w:hAnsi="Arial" w:cs="Arial"/>
        </w:rPr>
        <w:t xml:space="preserve"> </w:t>
      </w:r>
    </w:p>
    <w:p w:rsidR="00C67E6B" w:rsidRPr="00591022" w:rsidRDefault="00C67E6B" w:rsidP="0080582B">
      <w:pPr>
        <w:pStyle w:val="ListParagraph"/>
        <w:numPr>
          <w:ilvl w:val="0"/>
          <w:numId w:val="2"/>
        </w:numPr>
        <w:spacing w:after="240" w:line="360" w:lineRule="auto"/>
        <w:ind w:left="0" w:firstLine="0"/>
        <w:jc w:val="both"/>
        <w:rPr>
          <w:rFonts w:ascii="Arial" w:hAnsi="Arial" w:cs="Arial"/>
        </w:rPr>
      </w:pPr>
      <w:r w:rsidRPr="00591022">
        <w:rPr>
          <w:rFonts w:ascii="Arial" w:hAnsi="Arial" w:cs="Arial"/>
        </w:rPr>
        <w:t xml:space="preserve">The </w:t>
      </w:r>
      <w:r w:rsidR="00C83295" w:rsidRPr="00591022">
        <w:rPr>
          <w:rFonts w:ascii="Arial" w:hAnsi="Arial" w:cs="Arial"/>
        </w:rPr>
        <w:t xml:space="preserve">Commission and the merging parties however disagreed on the issue of </w:t>
      </w:r>
      <w:r w:rsidRPr="00591022">
        <w:rPr>
          <w:rFonts w:ascii="Arial" w:hAnsi="Arial" w:cs="Arial"/>
        </w:rPr>
        <w:t xml:space="preserve">supply-side substitutability </w:t>
      </w:r>
      <w:r w:rsidR="0042670C" w:rsidRPr="00591022">
        <w:rPr>
          <w:rFonts w:ascii="Arial" w:hAnsi="Arial" w:cs="Arial"/>
        </w:rPr>
        <w:t>for mining UPR</w:t>
      </w:r>
      <w:r w:rsidRPr="00591022">
        <w:rPr>
          <w:rFonts w:ascii="Arial" w:hAnsi="Arial" w:cs="Arial"/>
        </w:rPr>
        <w:t xml:space="preserve">. </w:t>
      </w:r>
    </w:p>
    <w:p w:rsidR="00CF3BD5" w:rsidRPr="00EB2666" w:rsidRDefault="00205904" w:rsidP="0080582B">
      <w:pPr>
        <w:pStyle w:val="ListParagraph"/>
        <w:numPr>
          <w:ilvl w:val="0"/>
          <w:numId w:val="2"/>
        </w:numPr>
        <w:tabs>
          <w:tab w:val="num" w:pos="567"/>
        </w:tabs>
        <w:spacing w:after="240" w:line="360" w:lineRule="auto"/>
        <w:ind w:left="0" w:firstLine="0"/>
        <w:jc w:val="both"/>
        <w:rPr>
          <w:rFonts w:ascii="Arial" w:hAnsi="Arial" w:cs="Arial"/>
        </w:rPr>
      </w:pPr>
      <w:r w:rsidRPr="00EB2666">
        <w:rPr>
          <w:rFonts w:ascii="Arial" w:hAnsi="Arial" w:cs="Arial"/>
        </w:rPr>
        <w:t xml:space="preserve">As stated above, there are currently only two customers of mining resin in South Africa, namely </w:t>
      </w:r>
      <w:r w:rsidR="00EB2666" w:rsidRPr="00EB2666">
        <w:rPr>
          <w:rFonts w:ascii="Arial" w:hAnsi="Arial" w:cs="Arial"/>
        </w:rPr>
        <w:t xml:space="preserve">Minova and </w:t>
      </w:r>
      <w:r w:rsidRPr="00EB2666">
        <w:rPr>
          <w:rFonts w:ascii="Arial" w:hAnsi="Arial" w:cs="Arial"/>
        </w:rPr>
        <w:t>Rocbolt</w:t>
      </w:r>
      <w:r w:rsidR="00CF3BD5" w:rsidRPr="00EB2666">
        <w:rPr>
          <w:rFonts w:ascii="Arial" w:hAnsi="Arial" w:cs="Arial"/>
        </w:rPr>
        <w:t>.</w:t>
      </w:r>
      <w:r w:rsidR="00EB2666" w:rsidRPr="00EB2666">
        <w:rPr>
          <w:rFonts w:ascii="Arial" w:hAnsi="Arial" w:cs="Arial"/>
        </w:rPr>
        <w:t xml:space="preserve"> </w:t>
      </w:r>
      <w:r w:rsidR="00F154A8" w:rsidRPr="00EB2666">
        <w:rPr>
          <w:rFonts w:ascii="Arial" w:hAnsi="Arial" w:cs="Arial"/>
        </w:rPr>
        <w:t>O</w:t>
      </w:r>
      <w:r w:rsidR="0030568B" w:rsidRPr="00EB2666">
        <w:rPr>
          <w:rFonts w:ascii="Arial" w:hAnsi="Arial" w:cs="Arial"/>
        </w:rPr>
        <w:t xml:space="preserve">f the four </w:t>
      </w:r>
      <w:r w:rsidR="00591022" w:rsidRPr="00EB2666">
        <w:rPr>
          <w:rFonts w:ascii="Arial" w:hAnsi="Arial" w:cs="Arial"/>
        </w:rPr>
        <w:t xml:space="preserve">current </w:t>
      </w:r>
      <w:r w:rsidR="0030568B" w:rsidRPr="00EB2666">
        <w:rPr>
          <w:rFonts w:ascii="Arial" w:hAnsi="Arial" w:cs="Arial"/>
        </w:rPr>
        <w:t>UPR manufacturers in South Africa</w:t>
      </w:r>
      <w:r w:rsidR="001B6EE9" w:rsidRPr="00EB2666">
        <w:rPr>
          <w:rFonts w:ascii="Arial" w:hAnsi="Arial" w:cs="Arial"/>
        </w:rPr>
        <w:t>, i.e. Arkema, NCS (Ferro), KZN Resins</w:t>
      </w:r>
      <w:r w:rsidR="0051426C" w:rsidRPr="0051426C">
        <w:rPr>
          <w:rFonts w:ascii="Arial" w:hAnsi="Arial" w:cs="Arial"/>
        </w:rPr>
        <w:t xml:space="preserve"> </w:t>
      </w:r>
      <w:r w:rsidR="0051426C" w:rsidRPr="00EB2666">
        <w:rPr>
          <w:rFonts w:ascii="Arial" w:hAnsi="Arial" w:cs="Arial"/>
        </w:rPr>
        <w:t>and Scott Bader</w:t>
      </w:r>
      <w:r w:rsidR="001B6EE9" w:rsidRPr="00EB2666">
        <w:rPr>
          <w:rFonts w:ascii="Arial" w:hAnsi="Arial" w:cs="Arial"/>
        </w:rPr>
        <w:t xml:space="preserve">, </w:t>
      </w:r>
      <w:r w:rsidR="0030568B" w:rsidRPr="00EB2666">
        <w:rPr>
          <w:rFonts w:ascii="Arial" w:hAnsi="Arial" w:cs="Arial"/>
        </w:rPr>
        <w:t xml:space="preserve">only </w:t>
      </w:r>
      <w:r w:rsidR="001B6EE9" w:rsidRPr="00EB2666">
        <w:rPr>
          <w:rFonts w:ascii="Arial" w:hAnsi="Arial" w:cs="Arial"/>
        </w:rPr>
        <w:t xml:space="preserve">NCS and Arkema </w:t>
      </w:r>
      <w:r w:rsidR="0030568B" w:rsidRPr="00EB2666">
        <w:rPr>
          <w:rFonts w:ascii="Arial" w:hAnsi="Arial" w:cs="Arial"/>
        </w:rPr>
        <w:t>are currently qualified to supply mining UPR. Scott Bader and KZN Resins are currently not qualified</w:t>
      </w:r>
      <w:r w:rsidR="001E58D1" w:rsidRPr="00EB2666">
        <w:rPr>
          <w:rFonts w:ascii="Arial" w:hAnsi="Arial" w:cs="Arial"/>
        </w:rPr>
        <w:t xml:space="preserve"> with either Rocbolt or M</w:t>
      </w:r>
      <w:r w:rsidR="00045C25" w:rsidRPr="00EB2666">
        <w:rPr>
          <w:rFonts w:ascii="Arial" w:hAnsi="Arial" w:cs="Arial"/>
        </w:rPr>
        <w:t>i</w:t>
      </w:r>
      <w:r w:rsidR="001E58D1" w:rsidRPr="00EB2666">
        <w:rPr>
          <w:rFonts w:ascii="Arial" w:hAnsi="Arial" w:cs="Arial"/>
        </w:rPr>
        <w:t>nova</w:t>
      </w:r>
      <w:r w:rsidR="0030568B" w:rsidRPr="00EB2666">
        <w:rPr>
          <w:rFonts w:ascii="Arial" w:hAnsi="Arial" w:cs="Arial"/>
        </w:rPr>
        <w:t>.</w:t>
      </w:r>
      <w:r w:rsidR="002936C2" w:rsidRPr="00EB2666">
        <w:rPr>
          <w:rFonts w:ascii="Arial" w:hAnsi="Arial" w:cs="Arial"/>
        </w:rPr>
        <w:t xml:space="preserve"> This was confirmed by both </w:t>
      </w:r>
      <w:r w:rsidR="00EB2666" w:rsidRPr="00EB2666">
        <w:rPr>
          <w:rFonts w:ascii="Arial" w:hAnsi="Arial" w:cs="Arial"/>
        </w:rPr>
        <w:t xml:space="preserve">Duma of Minova and </w:t>
      </w:r>
      <w:r w:rsidR="002936C2" w:rsidRPr="00EB2666">
        <w:rPr>
          <w:rFonts w:ascii="Arial" w:hAnsi="Arial" w:cs="Arial"/>
        </w:rPr>
        <w:t xml:space="preserve">Hahn </w:t>
      </w:r>
      <w:r w:rsidR="00CF3BD5" w:rsidRPr="00EB2666">
        <w:rPr>
          <w:rFonts w:ascii="Arial" w:hAnsi="Arial" w:cs="Arial"/>
        </w:rPr>
        <w:t>of Rocbolt</w:t>
      </w:r>
      <w:r w:rsidR="002936C2" w:rsidRPr="00EB2666">
        <w:rPr>
          <w:rFonts w:ascii="Arial" w:hAnsi="Arial" w:cs="Arial"/>
        </w:rPr>
        <w:t>.</w:t>
      </w:r>
      <w:r w:rsidR="002936C2">
        <w:rPr>
          <w:rStyle w:val="FootnoteReference"/>
          <w:rFonts w:ascii="Arial" w:hAnsi="Arial" w:cs="Arial"/>
        </w:rPr>
        <w:footnoteReference w:id="28"/>
      </w:r>
      <w:r w:rsidR="0030568B" w:rsidRPr="00EB2666">
        <w:rPr>
          <w:rFonts w:ascii="Arial" w:hAnsi="Arial" w:cs="Arial"/>
        </w:rPr>
        <w:t xml:space="preserve"> </w:t>
      </w:r>
    </w:p>
    <w:p w:rsidR="00CF3BD5" w:rsidRPr="00BE2A33" w:rsidRDefault="00CF3BD5" w:rsidP="00CF3BD5">
      <w:pPr>
        <w:pStyle w:val="ListParagraph"/>
        <w:numPr>
          <w:ilvl w:val="0"/>
          <w:numId w:val="2"/>
        </w:numPr>
        <w:spacing w:after="240" w:line="360" w:lineRule="auto"/>
        <w:ind w:left="0" w:firstLine="0"/>
        <w:jc w:val="both"/>
        <w:rPr>
          <w:rFonts w:ascii="Arial" w:hAnsi="Arial" w:cs="Arial"/>
        </w:rPr>
      </w:pPr>
      <w:r w:rsidRPr="00BE2A33">
        <w:rPr>
          <w:rFonts w:ascii="Arial" w:hAnsi="Arial" w:cs="Arial"/>
        </w:rPr>
        <w:t>Furthermore, t</w:t>
      </w:r>
      <w:r w:rsidR="00EB4EF4" w:rsidRPr="00BE2A33">
        <w:rPr>
          <w:rFonts w:ascii="Arial" w:hAnsi="Arial" w:cs="Arial"/>
        </w:rPr>
        <w:t xml:space="preserve">he evidence was that there are significant technical challenges to producing mining UPR, that it involves incurring </w:t>
      </w:r>
      <w:r w:rsidR="008C2AA9">
        <w:rPr>
          <w:rFonts w:ascii="Arial" w:hAnsi="Arial" w:cs="Arial"/>
        </w:rPr>
        <w:t xml:space="preserve">significant </w:t>
      </w:r>
      <w:r w:rsidR="00EB4EF4" w:rsidRPr="00BE2A33">
        <w:rPr>
          <w:rFonts w:ascii="Arial" w:hAnsi="Arial" w:cs="Arial"/>
        </w:rPr>
        <w:t xml:space="preserve">additional costs </w:t>
      </w:r>
      <w:r w:rsidR="008C2AA9">
        <w:rPr>
          <w:rFonts w:ascii="Arial" w:hAnsi="Arial" w:cs="Arial"/>
        </w:rPr>
        <w:t xml:space="preserve">for developing the formulation and providing samples to the customer </w:t>
      </w:r>
      <w:r w:rsidR="00EB4EF4" w:rsidRPr="00BE2A33">
        <w:rPr>
          <w:rFonts w:ascii="Arial" w:hAnsi="Arial" w:cs="Arial"/>
        </w:rPr>
        <w:t xml:space="preserve">and that </w:t>
      </w:r>
      <w:r w:rsidR="008C2AA9">
        <w:rPr>
          <w:rFonts w:ascii="Arial" w:hAnsi="Arial" w:cs="Arial"/>
        </w:rPr>
        <w:t xml:space="preserve">a stringent </w:t>
      </w:r>
      <w:r w:rsidR="00EB4EF4" w:rsidRPr="00BE2A33">
        <w:rPr>
          <w:rFonts w:ascii="Arial" w:hAnsi="Arial" w:cs="Arial"/>
        </w:rPr>
        <w:t xml:space="preserve">qualification </w:t>
      </w:r>
      <w:r w:rsidR="008C2AA9">
        <w:rPr>
          <w:rFonts w:ascii="Arial" w:hAnsi="Arial" w:cs="Arial"/>
        </w:rPr>
        <w:t xml:space="preserve">process is followed that </w:t>
      </w:r>
      <w:r w:rsidR="00EB4EF4" w:rsidRPr="00BE2A33">
        <w:rPr>
          <w:rFonts w:ascii="Arial" w:hAnsi="Arial" w:cs="Arial"/>
        </w:rPr>
        <w:t xml:space="preserve">takes a significant period of time, in any event more than </w:t>
      </w:r>
      <w:r w:rsidR="003B6D9C" w:rsidRPr="00BE2A33">
        <w:rPr>
          <w:rFonts w:ascii="Arial" w:hAnsi="Arial" w:cs="Arial"/>
        </w:rPr>
        <w:t>one</w:t>
      </w:r>
      <w:r w:rsidR="00EB4EF4" w:rsidRPr="00BE2A33">
        <w:rPr>
          <w:rFonts w:ascii="Arial" w:hAnsi="Arial" w:cs="Arial"/>
        </w:rPr>
        <w:t xml:space="preserve"> year.</w:t>
      </w:r>
      <w:r w:rsidR="00EB4EF4">
        <w:rPr>
          <w:rStyle w:val="FootnoteReference"/>
          <w:rFonts w:ascii="Arial" w:hAnsi="Arial" w:cs="Arial"/>
        </w:rPr>
        <w:footnoteReference w:id="29"/>
      </w:r>
      <w:r w:rsidR="003B6D9C" w:rsidRPr="00BE2A33">
        <w:rPr>
          <w:rFonts w:ascii="Arial" w:hAnsi="Arial" w:cs="Arial"/>
        </w:rPr>
        <w:t xml:space="preserve"> </w:t>
      </w:r>
      <w:r w:rsidR="00BE2A33" w:rsidRPr="00BE2A33">
        <w:rPr>
          <w:rFonts w:ascii="Arial" w:hAnsi="Arial" w:cs="Arial"/>
        </w:rPr>
        <w:t xml:space="preserve">Souchon distinguished the mining segment as follows in his </w:t>
      </w:r>
      <w:r w:rsidR="002863F0" w:rsidRPr="00BE2A33">
        <w:rPr>
          <w:rFonts w:ascii="Arial" w:hAnsi="Arial" w:cs="Arial"/>
        </w:rPr>
        <w:t>testimony</w:t>
      </w:r>
      <w:r w:rsidR="00BE2A33" w:rsidRPr="00BE2A33">
        <w:rPr>
          <w:rFonts w:ascii="Arial" w:hAnsi="Arial" w:cs="Arial"/>
        </w:rPr>
        <w:t>: “</w:t>
      </w:r>
      <w:r w:rsidR="00BE2A33" w:rsidRPr="00BE2A33">
        <w:rPr>
          <w:rFonts w:ascii="Arial" w:hAnsi="Arial" w:cs="Arial"/>
          <w:i/>
        </w:rPr>
        <w:t xml:space="preserve">You know, obviously with more specialised companies like Rocbolt or Minova, it’s a different </w:t>
      </w:r>
      <w:r w:rsidR="00BE2A33" w:rsidRPr="00BE2A33">
        <w:rPr>
          <w:rFonts w:ascii="Arial" w:hAnsi="Arial" w:cs="Arial"/>
          <w:i/>
        </w:rPr>
        <w:lastRenderedPageBreak/>
        <w:t>kettle of fish ....</w:t>
      </w:r>
      <w:r w:rsidR="00BE2A33" w:rsidRPr="00BE2A33">
        <w:rPr>
          <w:rFonts w:ascii="Arial" w:hAnsi="Arial" w:cs="Arial"/>
        </w:rPr>
        <w:t>”</w:t>
      </w:r>
      <w:r w:rsidR="00BE2A33">
        <w:rPr>
          <w:rStyle w:val="FootnoteReference"/>
          <w:rFonts w:ascii="Arial" w:hAnsi="Arial" w:cs="Arial"/>
        </w:rPr>
        <w:footnoteReference w:id="30"/>
      </w:r>
      <w:r w:rsidR="008C2AA9">
        <w:rPr>
          <w:rFonts w:ascii="Arial" w:hAnsi="Arial" w:cs="Arial"/>
        </w:rPr>
        <w:t xml:space="preserve"> </w:t>
      </w:r>
      <w:r w:rsidR="00146F37" w:rsidRPr="00BE2A33">
        <w:rPr>
          <w:rFonts w:ascii="Arial" w:hAnsi="Arial" w:cs="Arial"/>
        </w:rPr>
        <w:t xml:space="preserve">Duma </w:t>
      </w:r>
      <w:r w:rsidRPr="00BE2A33">
        <w:rPr>
          <w:rFonts w:ascii="Arial" w:hAnsi="Arial" w:cs="Arial"/>
        </w:rPr>
        <w:t>stated</w:t>
      </w:r>
      <w:r w:rsidR="00146F37" w:rsidRPr="00BE2A33">
        <w:rPr>
          <w:rFonts w:ascii="Arial" w:hAnsi="Arial" w:cs="Arial"/>
        </w:rPr>
        <w:t xml:space="preserve"> that there are significant challenges for suppliers of more ordinary UPR to qualify to supply mining UPR including a stringent process of qualification as well as significant costs involved in developing the formulation and providing samples to Minova.</w:t>
      </w:r>
      <w:r w:rsidR="00146F37">
        <w:rPr>
          <w:rStyle w:val="FootnoteReference"/>
          <w:rFonts w:ascii="Arial" w:hAnsi="Arial" w:cs="Arial"/>
        </w:rPr>
        <w:footnoteReference w:id="31"/>
      </w:r>
      <w:r w:rsidR="00467BD3" w:rsidRPr="00BE2A33">
        <w:rPr>
          <w:rFonts w:ascii="Arial" w:hAnsi="Arial" w:cs="Arial"/>
        </w:rPr>
        <w:t xml:space="preserve"> Hahn submitted that the process of qualifying a new supplier is lengthy and can be expected to take </w:t>
      </w:r>
      <w:r w:rsidR="008E07AA">
        <w:rPr>
          <w:rFonts w:ascii="Arial" w:hAnsi="Arial" w:cs="Arial"/>
        </w:rPr>
        <w:t>two</w:t>
      </w:r>
      <w:r w:rsidR="00467BD3" w:rsidRPr="00BE2A33">
        <w:rPr>
          <w:rFonts w:ascii="Arial" w:hAnsi="Arial" w:cs="Arial"/>
        </w:rPr>
        <w:t xml:space="preserve"> years.</w:t>
      </w:r>
      <w:r w:rsidR="00467BD3">
        <w:rPr>
          <w:rStyle w:val="FootnoteReference"/>
          <w:rFonts w:ascii="Arial" w:hAnsi="Arial" w:cs="Arial"/>
        </w:rPr>
        <w:footnoteReference w:id="32"/>
      </w:r>
      <w:r w:rsidRPr="00BE2A33">
        <w:rPr>
          <w:rFonts w:ascii="Arial" w:hAnsi="Arial" w:cs="Arial"/>
        </w:rPr>
        <w:t xml:space="preserve"> </w:t>
      </w:r>
      <w:r w:rsidR="00575118" w:rsidRPr="00BE2A33">
        <w:rPr>
          <w:rFonts w:ascii="Arial" w:hAnsi="Arial" w:cs="Arial"/>
        </w:rPr>
        <w:t>Moreover, a</w:t>
      </w:r>
      <w:r w:rsidR="006C025B" w:rsidRPr="00BE2A33">
        <w:rPr>
          <w:rFonts w:ascii="Arial" w:hAnsi="Arial" w:cs="Arial"/>
        </w:rPr>
        <w:t xml:space="preserve"> new entrant into the </w:t>
      </w:r>
      <w:r w:rsidR="003E5503">
        <w:rPr>
          <w:rFonts w:ascii="Arial" w:hAnsi="Arial" w:cs="Arial"/>
        </w:rPr>
        <w:t xml:space="preserve">production and </w:t>
      </w:r>
      <w:r w:rsidR="006C025B" w:rsidRPr="00BE2A33">
        <w:rPr>
          <w:rFonts w:ascii="Arial" w:hAnsi="Arial" w:cs="Arial"/>
        </w:rPr>
        <w:t xml:space="preserve">supply of mining UPR must </w:t>
      </w:r>
      <w:r w:rsidR="00575118" w:rsidRPr="00BE2A33">
        <w:rPr>
          <w:rFonts w:ascii="Arial" w:hAnsi="Arial" w:cs="Arial"/>
        </w:rPr>
        <w:t xml:space="preserve">further </w:t>
      </w:r>
      <w:r w:rsidR="006C025B" w:rsidRPr="00BE2A33">
        <w:rPr>
          <w:rFonts w:ascii="Arial" w:hAnsi="Arial" w:cs="Arial"/>
        </w:rPr>
        <w:t xml:space="preserve">demonstrate </w:t>
      </w:r>
      <w:r w:rsidR="00784E9C">
        <w:rPr>
          <w:rFonts w:ascii="Arial" w:hAnsi="Arial" w:cs="Arial"/>
        </w:rPr>
        <w:t>the</w:t>
      </w:r>
      <w:r w:rsidR="006C025B" w:rsidRPr="00BE2A33">
        <w:rPr>
          <w:rFonts w:ascii="Arial" w:hAnsi="Arial" w:cs="Arial"/>
        </w:rPr>
        <w:t xml:space="preserve"> ability to consistently supply UPR that meets the quality </w:t>
      </w:r>
      <w:r w:rsidR="007478B3" w:rsidRPr="00BE2A33">
        <w:rPr>
          <w:rFonts w:ascii="Arial" w:hAnsi="Arial" w:cs="Arial"/>
        </w:rPr>
        <w:t xml:space="preserve">specifications of the mining customers </w:t>
      </w:r>
      <w:r w:rsidR="006C025B" w:rsidRPr="00BE2A33">
        <w:rPr>
          <w:rFonts w:ascii="Arial" w:hAnsi="Arial" w:cs="Arial"/>
        </w:rPr>
        <w:t xml:space="preserve">in order to be </w:t>
      </w:r>
      <w:r w:rsidR="0028170A">
        <w:rPr>
          <w:rFonts w:ascii="Arial" w:hAnsi="Arial" w:cs="Arial"/>
        </w:rPr>
        <w:t xml:space="preserve">considered </w:t>
      </w:r>
      <w:r w:rsidR="006C025B" w:rsidRPr="00BE2A33">
        <w:rPr>
          <w:rFonts w:ascii="Arial" w:hAnsi="Arial" w:cs="Arial"/>
        </w:rPr>
        <w:t xml:space="preserve">a </w:t>
      </w:r>
      <w:r w:rsidR="008C2AA9">
        <w:rPr>
          <w:rFonts w:ascii="Arial" w:hAnsi="Arial" w:cs="Arial"/>
        </w:rPr>
        <w:t xml:space="preserve">reliable and </w:t>
      </w:r>
      <w:r w:rsidR="006C025B" w:rsidRPr="00BE2A33">
        <w:rPr>
          <w:rFonts w:ascii="Arial" w:hAnsi="Arial" w:cs="Arial"/>
        </w:rPr>
        <w:t>credible alternative.</w:t>
      </w:r>
      <w:r w:rsidR="003265C3">
        <w:rPr>
          <w:rStyle w:val="FootnoteReference"/>
          <w:rFonts w:ascii="Arial" w:hAnsi="Arial" w:cs="Arial"/>
        </w:rPr>
        <w:footnoteReference w:id="33"/>
      </w:r>
      <w:r w:rsidR="006C025B" w:rsidRPr="00BE2A33">
        <w:rPr>
          <w:rFonts w:ascii="Arial" w:hAnsi="Arial" w:cs="Arial"/>
        </w:rPr>
        <w:t xml:space="preserve"> </w:t>
      </w:r>
      <w:r w:rsidRPr="00BE2A33">
        <w:rPr>
          <w:rFonts w:ascii="Arial" w:hAnsi="Arial" w:cs="Arial"/>
        </w:rPr>
        <w:t xml:space="preserve">We </w:t>
      </w:r>
      <w:r w:rsidR="008E07AA">
        <w:rPr>
          <w:rFonts w:ascii="Arial" w:hAnsi="Arial" w:cs="Arial"/>
        </w:rPr>
        <w:t>provide</w:t>
      </w:r>
      <w:r w:rsidRPr="00BE2A33">
        <w:rPr>
          <w:rFonts w:ascii="Arial" w:hAnsi="Arial" w:cs="Arial"/>
        </w:rPr>
        <w:t xml:space="preserve"> </w:t>
      </w:r>
      <w:r w:rsidR="008E07AA">
        <w:rPr>
          <w:rFonts w:ascii="Arial" w:hAnsi="Arial" w:cs="Arial"/>
        </w:rPr>
        <w:t>further</w:t>
      </w:r>
      <w:r w:rsidRPr="00BE2A33">
        <w:rPr>
          <w:rFonts w:ascii="Arial" w:hAnsi="Arial" w:cs="Arial"/>
        </w:rPr>
        <w:t xml:space="preserve"> detail</w:t>
      </w:r>
      <w:r w:rsidR="0028170A">
        <w:rPr>
          <w:rFonts w:ascii="Arial" w:hAnsi="Arial" w:cs="Arial"/>
        </w:rPr>
        <w:t>s</w:t>
      </w:r>
      <w:r w:rsidRPr="00BE2A33">
        <w:rPr>
          <w:rFonts w:ascii="Arial" w:hAnsi="Arial" w:cs="Arial"/>
        </w:rPr>
        <w:t xml:space="preserve"> below under the competitive assessment </w:t>
      </w:r>
      <w:r w:rsidR="0028170A">
        <w:rPr>
          <w:rFonts w:ascii="Arial" w:hAnsi="Arial" w:cs="Arial"/>
        </w:rPr>
        <w:t xml:space="preserve">with regards to </w:t>
      </w:r>
      <w:r w:rsidRPr="00BE2A33">
        <w:rPr>
          <w:rFonts w:ascii="Arial" w:hAnsi="Arial" w:cs="Arial"/>
        </w:rPr>
        <w:t xml:space="preserve">the process of qualifying a </w:t>
      </w:r>
      <w:r w:rsidR="0028170A" w:rsidRPr="00BE2A33">
        <w:rPr>
          <w:rFonts w:ascii="Arial" w:hAnsi="Arial" w:cs="Arial"/>
        </w:rPr>
        <w:t xml:space="preserve">mining UPR </w:t>
      </w:r>
      <w:r w:rsidRPr="00BE2A33">
        <w:rPr>
          <w:rFonts w:ascii="Arial" w:hAnsi="Arial" w:cs="Arial"/>
        </w:rPr>
        <w:t xml:space="preserve">supplier, and specifically deal with Scott Bader as a potential </w:t>
      </w:r>
      <w:r w:rsidR="00B51866" w:rsidRPr="00BE2A33">
        <w:rPr>
          <w:rFonts w:ascii="Arial" w:hAnsi="Arial" w:cs="Arial"/>
        </w:rPr>
        <w:t xml:space="preserve">mining UPR </w:t>
      </w:r>
      <w:r w:rsidRPr="00BE2A33">
        <w:rPr>
          <w:rFonts w:ascii="Arial" w:hAnsi="Arial" w:cs="Arial"/>
        </w:rPr>
        <w:t>supplier</w:t>
      </w:r>
      <w:r w:rsidR="0028170A">
        <w:rPr>
          <w:rFonts w:ascii="Arial" w:hAnsi="Arial" w:cs="Arial"/>
        </w:rPr>
        <w:t xml:space="preserve"> to Minova and Rocbolt</w:t>
      </w:r>
      <w:r w:rsidRPr="00BE2A33">
        <w:rPr>
          <w:rFonts w:ascii="Arial" w:hAnsi="Arial" w:cs="Arial"/>
        </w:rPr>
        <w:t>.</w:t>
      </w:r>
    </w:p>
    <w:p w:rsidR="006C025B" w:rsidRDefault="007478B3" w:rsidP="0080582B">
      <w:pPr>
        <w:pStyle w:val="ListParagraph"/>
        <w:numPr>
          <w:ilvl w:val="0"/>
          <w:numId w:val="2"/>
        </w:numPr>
        <w:spacing w:after="240" w:line="360" w:lineRule="auto"/>
        <w:ind w:left="0" w:firstLine="0"/>
        <w:jc w:val="both"/>
        <w:rPr>
          <w:rFonts w:ascii="Arial" w:hAnsi="Arial" w:cs="Arial"/>
        </w:rPr>
      </w:pPr>
      <w:r>
        <w:rPr>
          <w:rFonts w:ascii="Arial" w:hAnsi="Arial" w:cs="Arial"/>
        </w:rPr>
        <w:t xml:space="preserve">We </w:t>
      </w:r>
      <w:r w:rsidR="00B51866">
        <w:rPr>
          <w:rFonts w:ascii="Arial" w:hAnsi="Arial" w:cs="Arial"/>
        </w:rPr>
        <w:t xml:space="preserve">have found no </w:t>
      </w:r>
      <w:r w:rsidR="008E1A18">
        <w:rPr>
          <w:rFonts w:ascii="Arial" w:hAnsi="Arial" w:cs="Arial"/>
        </w:rPr>
        <w:t xml:space="preserve">compelling </w:t>
      </w:r>
      <w:r w:rsidR="00B51866">
        <w:rPr>
          <w:rFonts w:ascii="Arial" w:hAnsi="Arial" w:cs="Arial"/>
        </w:rPr>
        <w:t xml:space="preserve">evidence </w:t>
      </w:r>
      <w:r>
        <w:rPr>
          <w:rFonts w:ascii="Arial" w:hAnsi="Arial" w:cs="Arial"/>
        </w:rPr>
        <w:t xml:space="preserve">that </w:t>
      </w:r>
      <w:r w:rsidR="003B6D9C">
        <w:rPr>
          <w:rFonts w:ascii="Arial" w:hAnsi="Arial" w:cs="Arial"/>
        </w:rPr>
        <w:t>Scott Bader</w:t>
      </w:r>
      <w:r w:rsidR="00B51866">
        <w:rPr>
          <w:rFonts w:ascii="Arial" w:hAnsi="Arial" w:cs="Arial"/>
        </w:rPr>
        <w:t xml:space="preserve"> and KZN Resins</w:t>
      </w:r>
      <w:r w:rsidR="00AD2F6F">
        <w:rPr>
          <w:rFonts w:ascii="Arial" w:hAnsi="Arial" w:cs="Arial"/>
        </w:rPr>
        <w:t>, which</w:t>
      </w:r>
      <w:r w:rsidR="006C025B" w:rsidRPr="006C025B">
        <w:rPr>
          <w:rFonts w:ascii="Arial" w:hAnsi="Arial" w:cs="Arial"/>
        </w:rPr>
        <w:t xml:space="preserve"> are not currently qualified </w:t>
      </w:r>
      <w:r w:rsidR="00575118">
        <w:rPr>
          <w:rFonts w:ascii="Arial" w:hAnsi="Arial" w:cs="Arial"/>
        </w:rPr>
        <w:t>by the mining resin customers</w:t>
      </w:r>
      <w:r w:rsidR="0028170A" w:rsidRPr="0028170A">
        <w:rPr>
          <w:rFonts w:ascii="Arial" w:hAnsi="Arial" w:cs="Arial"/>
        </w:rPr>
        <w:t xml:space="preserve"> </w:t>
      </w:r>
      <w:r w:rsidR="0028170A">
        <w:rPr>
          <w:rFonts w:ascii="Arial" w:hAnsi="Arial" w:cs="Arial"/>
        </w:rPr>
        <w:t>in South Africa</w:t>
      </w:r>
      <w:r w:rsidR="00B51866">
        <w:rPr>
          <w:rFonts w:ascii="Arial" w:hAnsi="Arial" w:cs="Arial"/>
        </w:rPr>
        <w:t>,</w:t>
      </w:r>
      <w:r w:rsidR="00575118">
        <w:rPr>
          <w:rFonts w:ascii="Arial" w:hAnsi="Arial" w:cs="Arial"/>
        </w:rPr>
        <w:t xml:space="preserve"> </w:t>
      </w:r>
      <w:r w:rsidR="006C025B" w:rsidRPr="006C025B">
        <w:rPr>
          <w:rFonts w:ascii="Arial" w:hAnsi="Arial" w:cs="Arial"/>
        </w:rPr>
        <w:t xml:space="preserve">are able to place a timely </w:t>
      </w:r>
      <w:r w:rsidR="00B51866">
        <w:rPr>
          <w:rFonts w:ascii="Arial" w:hAnsi="Arial" w:cs="Arial"/>
        </w:rPr>
        <w:t xml:space="preserve">and effective </w:t>
      </w:r>
      <w:r w:rsidR="006C025B" w:rsidRPr="006C025B">
        <w:rPr>
          <w:rFonts w:ascii="Arial" w:hAnsi="Arial" w:cs="Arial"/>
        </w:rPr>
        <w:t>constraint on a hypothetical monopolist over mining UPR</w:t>
      </w:r>
      <w:r>
        <w:rPr>
          <w:rFonts w:ascii="Arial" w:hAnsi="Arial" w:cs="Arial"/>
        </w:rPr>
        <w:t>. We</w:t>
      </w:r>
      <w:r w:rsidR="006C025B" w:rsidRPr="006C025B">
        <w:rPr>
          <w:rFonts w:ascii="Arial" w:hAnsi="Arial" w:cs="Arial"/>
        </w:rPr>
        <w:t xml:space="preserve"> therefore </w:t>
      </w:r>
      <w:r>
        <w:rPr>
          <w:rFonts w:ascii="Arial" w:hAnsi="Arial" w:cs="Arial"/>
        </w:rPr>
        <w:t xml:space="preserve">concur with the Commission that </w:t>
      </w:r>
      <w:r w:rsidR="006C025B" w:rsidRPr="006C025B">
        <w:rPr>
          <w:rFonts w:ascii="Arial" w:hAnsi="Arial" w:cs="Arial"/>
        </w:rPr>
        <w:t xml:space="preserve">a separate </w:t>
      </w:r>
      <w:r w:rsidR="003B6D9C">
        <w:rPr>
          <w:rFonts w:ascii="Arial" w:hAnsi="Arial" w:cs="Arial"/>
        </w:rPr>
        <w:t xml:space="preserve">product </w:t>
      </w:r>
      <w:r w:rsidR="006C025B" w:rsidRPr="006C025B">
        <w:rPr>
          <w:rFonts w:ascii="Arial" w:hAnsi="Arial" w:cs="Arial"/>
        </w:rPr>
        <w:t xml:space="preserve">market </w:t>
      </w:r>
      <w:r w:rsidR="009A7E1F">
        <w:rPr>
          <w:rFonts w:ascii="Arial" w:hAnsi="Arial" w:cs="Arial"/>
        </w:rPr>
        <w:t xml:space="preserve">exists </w:t>
      </w:r>
      <w:r w:rsidR="006C025B" w:rsidRPr="006C025B">
        <w:rPr>
          <w:rFonts w:ascii="Arial" w:hAnsi="Arial" w:cs="Arial"/>
        </w:rPr>
        <w:t xml:space="preserve">for </w:t>
      </w:r>
      <w:r w:rsidR="00575118">
        <w:rPr>
          <w:rFonts w:ascii="Arial" w:hAnsi="Arial" w:cs="Arial"/>
        </w:rPr>
        <w:t xml:space="preserve">the production and sale of </w:t>
      </w:r>
      <w:r w:rsidR="006C025B" w:rsidRPr="006C025B">
        <w:rPr>
          <w:rFonts w:ascii="Arial" w:hAnsi="Arial" w:cs="Arial"/>
        </w:rPr>
        <w:t xml:space="preserve">mining UPR. </w:t>
      </w:r>
      <w:r w:rsidR="00BE2A33">
        <w:rPr>
          <w:rFonts w:ascii="Arial" w:hAnsi="Arial" w:cs="Arial"/>
        </w:rPr>
        <w:t xml:space="preserve">As </w:t>
      </w:r>
      <w:r w:rsidR="0028170A">
        <w:rPr>
          <w:rFonts w:ascii="Arial" w:hAnsi="Arial" w:cs="Arial"/>
        </w:rPr>
        <w:t>already indicated</w:t>
      </w:r>
      <w:r w:rsidR="00BE2A33">
        <w:rPr>
          <w:rFonts w:ascii="Arial" w:hAnsi="Arial" w:cs="Arial"/>
        </w:rPr>
        <w:t xml:space="preserve"> above, p</w:t>
      </w:r>
      <w:r>
        <w:rPr>
          <w:rFonts w:ascii="Arial" w:hAnsi="Arial" w:cs="Arial"/>
        </w:rPr>
        <w:t xml:space="preserve">otential entry </w:t>
      </w:r>
      <w:r w:rsidR="003B6D9C">
        <w:rPr>
          <w:rFonts w:ascii="Arial" w:hAnsi="Arial" w:cs="Arial"/>
        </w:rPr>
        <w:t>into th</w:t>
      </w:r>
      <w:r w:rsidR="00575118">
        <w:rPr>
          <w:rFonts w:ascii="Arial" w:hAnsi="Arial" w:cs="Arial"/>
        </w:rPr>
        <w:t>is</w:t>
      </w:r>
      <w:r w:rsidR="003B6D9C">
        <w:rPr>
          <w:rFonts w:ascii="Arial" w:hAnsi="Arial" w:cs="Arial"/>
        </w:rPr>
        <w:t xml:space="preserve"> market </w:t>
      </w:r>
      <w:r>
        <w:rPr>
          <w:rFonts w:ascii="Arial" w:hAnsi="Arial" w:cs="Arial"/>
        </w:rPr>
        <w:t>will be dealt with under the assessment of the competitive effects of the proposed merger.</w:t>
      </w:r>
    </w:p>
    <w:p w:rsidR="00575118" w:rsidRPr="006C025B" w:rsidRDefault="00575118" w:rsidP="0080582B">
      <w:pPr>
        <w:pStyle w:val="ListParagraph"/>
        <w:numPr>
          <w:ilvl w:val="0"/>
          <w:numId w:val="2"/>
        </w:numPr>
        <w:spacing w:after="240" w:line="360" w:lineRule="auto"/>
        <w:ind w:left="0" w:firstLine="0"/>
        <w:jc w:val="both"/>
        <w:rPr>
          <w:rFonts w:ascii="Arial" w:hAnsi="Arial" w:cs="Arial"/>
        </w:rPr>
      </w:pPr>
      <w:r>
        <w:rPr>
          <w:rFonts w:ascii="Arial" w:hAnsi="Arial" w:cs="Arial"/>
        </w:rPr>
        <w:t xml:space="preserve">We </w:t>
      </w:r>
      <w:r w:rsidR="003E54AF">
        <w:rPr>
          <w:rFonts w:ascii="Arial" w:hAnsi="Arial" w:cs="Arial"/>
        </w:rPr>
        <w:t xml:space="preserve">shall </w:t>
      </w:r>
      <w:r w:rsidR="00BE2A33">
        <w:rPr>
          <w:rFonts w:ascii="Arial" w:hAnsi="Arial" w:cs="Arial"/>
        </w:rPr>
        <w:t xml:space="preserve">therefore </w:t>
      </w:r>
      <w:r>
        <w:rPr>
          <w:rFonts w:ascii="Arial" w:hAnsi="Arial" w:cs="Arial"/>
        </w:rPr>
        <w:t xml:space="preserve">assess the </w:t>
      </w:r>
      <w:r w:rsidR="00FC4971">
        <w:rPr>
          <w:rFonts w:ascii="Arial" w:hAnsi="Arial" w:cs="Arial"/>
        </w:rPr>
        <w:t xml:space="preserve">competitive </w:t>
      </w:r>
      <w:r>
        <w:rPr>
          <w:rFonts w:ascii="Arial" w:hAnsi="Arial" w:cs="Arial"/>
        </w:rPr>
        <w:t xml:space="preserve">effects of the proposed merger </w:t>
      </w:r>
      <w:r w:rsidR="00B51866">
        <w:rPr>
          <w:rFonts w:ascii="Arial" w:hAnsi="Arial" w:cs="Arial"/>
        </w:rPr>
        <w:t>in</w:t>
      </w:r>
      <w:r>
        <w:rPr>
          <w:rFonts w:ascii="Arial" w:hAnsi="Arial" w:cs="Arial"/>
        </w:rPr>
        <w:t xml:space="preserve"> two </w:t>
      </w:r>
      <w:r w:rsidR="00BE2A33">
        <w:rPr>
          <w:rFonts w:ascii="Arial" w:hAnsi="Arial" w:cs="Arial"/>
        </w:rPr>
        <w:t xml:space="preserve">relevant product </w:t>
      </w:r>
      <w:r>
        <w:rPr>
          <w:rFonts w:ascii="Arial" w:hAnsi="Arial" w:cs="Arial"/>
        </w:rPr>
        <w:t>markets: (i) the production and sale of mining UPR; and (ii) the production and sale of all UPRs other than mining UPR.</w:t>
      </w:r>
      <w:r w:rsidR="00B51866">
        <w:rPr>
          <w:rFonts w:ascii="Arial" w:hAnsi="Arial" w:cs="Arial"/>
        </w:rPr>
        <w:t xml:space="preserve"> In the latter </w:t>
      </w:r>
      <w:r w:rsidR="00FC4971">
        <w:rPr>
          <w:rFonts w:ascii="Arial" w:hAnsi="Arial" w:cs="Arial"/>
        </w:rPr>
        <w:t xml:space="preserve">(broader) product </w:t>
      </w:r>
      <w:r w:rsidR="00B51866">
        <w:rPr>
          <w:rFonts w:ascii="Arial" w:hAnsi="Arial" w:cs="Arial"/>
        </w:rPr>
        <w:t>market we note that</w:t>
      </w:r>
      <w:r w:rsidR="008E1A18">
        <w:rPr>
          <w:rFonts w:ascii="Arial" w:hAnsi="Arial" w:cs="Arial"/>
        </w:rPr>
        <w:t xml:space="preserve"> the market characteristics </w:t>
      </w:r>
      <w:r w:rsidR="00FC4971">
        <w:rPr>
          <w:rFonts w:ascii="Arial" w:hAnsi="Arial" w:cs="Arial"/>
        </w:rPr>
        <w:t xml:space="preserve">do </w:t>
      </w:r>
      <w:r w:rsidR="008E1A18">
        <w:rPr>
          <w:rFonts w:ascii="Arial" w:hAnsi="Arial" w:cs="Arial"/>
        </w:rPr>
        <w:t xml:space="preserve">differ </w:t>
      </w:r>
      <w:r w:rsidR="00B51866">
        <w:rPr>
          <w:rFonts w:ascii="Arial" w:hAnsi="Arial" w:cs="Arial"/>
        </w:rPr>
        <w:t xml:space="preserve">between the </w:t>
      </w:r>
      <w:proofErr w:type="gramStart"/>
      <w:r w:rsidR="00B51866">
        <w:rPr>
          <w:rFonts w:ascii="Arial" w:hAnsi="Arial" w:cs="Arial"/>
        </w:rPr>
        <w:t>supply</w:t>
      </w:r>
      <w:proofErr w:type="gramEnd"/>
      <w:r w:rsidR="00B51866">
        <w:rPr>
          <w:rFonts w:ascii="Arial" w:hAnsi="Arial" w:cs="Arial"/>
        </w:rPr>
        <w:t xml:space="preserve"> of general purpose resin (see paragraph </w:t>
      </w:r>
      <w:r w:rsidR="00500623" w:rsidRPr="00500623">
        <w:rPr>
          <w:rFonts w:ascii="Arial" w:hAnsi="Arial" w:cs="Arial"/>
        </w:rPr>
        <w:t>30</w:t>
      </w:r>
      <w:r w:rsidR="00B51866">
        <w:rPr>
          <w:rFonts w:ascii="Arial" w:hAnsi="Arial" w:cs="Arial"/>
        </w:rPr>
        <w:t xml:space="preserve"> above)</w:t>
      </w:r>
      <w:r w:rsidR="008E1A18">
        <w:rPr>
          <w:rFonts w:ascii="Arial" w:hAnsi="Arial" w:cs="Arial"/>
        </w:rPr>
        <w:t>, on the one hand,</w:t>
      </w:r>
      <w:r w:rsidR="00B51866">
        <w:rPr>
          <w:rFonts w:ascii="Arial" w:hAnsi="Arial" w:cs="Arial"/>
        </w:rPr>
        <w:t xml:space="preserve"> and </w:t>
      </w:r>
      <w:r w:rsidR="008E1A18">
        <w:rPr>
          <w:rFonts w:ascii="Arial" w:hAnsi="Arial" w:cs="Arial"/>
        </w:rPr>
        <w:t xml:space="preserve">more </w:t>
      </w:r>
      <w:r w:rsidR="00B51866">
        <w:rPr>
          <w:rFonts w:ascii="Arial" w:hAnsi="Arial" w:cs="Arial"/>
        </w:rPr>
        <w:t xml:space="preserve">specialised </w:t>
      </w:r>
      <w:r w:rsidR="008E1A18">
        <w:rPr>
          <w:rFonts w:ascii="Arial" w:hAnsi="Arial" w:cs="Arial"/>
        </w:rPr>
        <w:t>and</w:t>
      </w:r>
      <w:r w:rsidR="003E54AF">
        <w:rPr>
          <w:rFonts w:ascii="Arial" w:hAnsi="Arial" w:cs="Arial"/>
        </w:rPr>
        <w:t>/or</w:t>
      </w:r>
      <w:r w:rsidR="008E1A18">
        <w:rPr>
          <w:rFonts w:ascii="Arial" w:hAnsi="Arial" w:cs="Arial"/>
        </w:rPr>
        <w:t xml:space="preserve"> customised </w:t>
      </w:r>
      <w:r w:rsidR="00FC4971">
        <w:rPr>
          <w:rFonts w:ascii="Arial" w:hAnsi="Arial" w:cs="Arial"/>
        </w:rPr>
        <w:t>resin</w:t>
      </w:r>
      <w:r w:rsidR="008E1A18">
        <w:rPr>
          <w:rFonts w:ascii="Arial" w:hAnsi="Arial" w:cs="Arial"/>
        </w:rPr>
        <w:t>, on the other hand</w:t>
      </w:r>
      <w:r w:rsidR="00B51866">
        <w:rPr>
          <w:rFonts w:ascii="Arial" w:hAnsi="Arial" w:cs="Arial"/>
        </w:rPr>
        <w:t>.</w:t>
      </w:r>
    </w:p>
    <w:p w:rsidR="006C025B" w:rsidRPr="001D0074" w:rsidRDefault="00C22F21" w:rsidP="00C22F21">
      <w:pPr>
        <w:pStyle w:val="ListParagraph"/>
        <w:spacing w:after="240" w:line="360" w:lineRule="auto"/>
        <w:ind w:left="0"/>
        <w:jc w:val="both"/>
        <w:rPr>
          <w:rFonts w:ascii="Arial" w:hAnsi="Arial" w:cs="Arial"/>
          <w:b/>
          <w:i/>
        </w:rPr>
      </w:pPr>
      <w:r w:rsidRPr="001D0074">
        <w:rPr>
          <w:rFonts w:ascii="Arial" w:hAnsi="Arial" w:cs="Arial"/>
          <w:b/>
          <w:i/>
        </w:rPr>
        <w:t>Geographic market</w:t>
      </w:r>
      <w:r w:rsidR="001D0074" w:rsidRPr="001D0074">
        <w:rPr>
          <w:rFonts w:ascii="Arial" w:hAnsi="Arial" w:cs="Arial"/>
          <w:b/>
          <w:i/>
        </w:rPr>
        <w:t>s</w:t>
      </w:r>
    </w:p>
    <w:p w:rsidR="00AC31FD" w:rsidRDefault="007E64B7" w:rsidP="0080582B">
      <w:pPr>
        <w:pStyle w:val="ListParagraph"/>
        <w:numPr>
          <w:ilvl w:val="0"/>
          <w:numId w:val="2"/>
        </w:numPr>
        <w:spacing w:after="240" w:line="360" w:lineRule="auto"/>
        <w:ind w:left="0" w:firstLine="0"/>
        <w:jc w:val="both"/>
        <w:rPr>
          <w:rFonts w:ascii="Arial" w:hAnsi="Arial" w:cs="Arial"/>
        </w:rPr>
      </w:pPr>
      <w:r w:rsidRPr="007E64B7">
        <w:rPr>
          <w:rFonts w:ascii="Arial" w:hAnsi="Arial" w:cs="Arial"/>
        </w:rPr>
        <w:t xml:space="preserve">The </w:t>
      </w:r>
      <w:r>
        <w:rPr>
          <w:rFonts w:ascii="Arial" w:hAnsi="Arial" w:cs="Arial"/>
        </w:rPr>
        <w:t xml:space="preserve">Commission and the merging </w:t>
      </w:r>
      <w:r w:rsidRPr="007E64B7">
        <w:rPr>
          <w:rFonts w:ascii="Arial" w:hAnsi="Arial" w:cs="Arial"/>
        </w:rPr>
        <w:t xml:space="preserve">parties </w:t>
      </w:r>
      <w:r>
        <w:rPr>
          <w:rFonts w:ascii="Arial" w:hAnsi="Arial" w:cs="Arial"/>
        </w:rPr>
        <w:t>disagreed on the scope of the geographic market</w:t>
      </w:r>
      <w:r w:rsidR="00D722E8">
        <w:rPr>
          <w:rFonts w:ascii="Arial" w:hAnsi="Arial" w:cs="Arial"/>
        </w:rPr>
        <w:t>s</w:t>
      </w:r>
      <w:r>
        <w:rPr>
          <w:rFonts w:ascii="Arial" w:hAnsi="Arial" w:cs="Arial"/>
        </w:rPr>
        <w:t xml:space="preserve"> for the manufactur</w:t>
      </w:r>
      <w:r w:rsidR="00882AF5">
        <w:rPr>
          <w:rFonts w:ascii="Arial" w:hAnsi="Arial" w:cs="Arial"/>
        </w:rPr>
        <w:t>e</w:t>
      </w:r>
      <w:r>
        <w:rPr>
          <w:rFonts w:ascii="Arial" w:hAnsi="Arial" w:cs="Arial"/>
        </w:rPr>
        <w:t xml:space="preserve"> and supply of </w:t>
      </w:r>
      <w:r w:rsidR="00D722E8">
        <w:rPr>
          <w:rFonts w:ascii="Arial" w:hAnsi="Arial" w:cs="Arial"/>
        </w:rPr>
        <w:t xml:space="preserve">both mining UPR and other </w:t>
      </w:r>
      <w:r>
        <w:rPr>
          <w:rFonts w:ascii="Arial" w:hAnsi="Arial" w:cs="Arial"/>
        </w:rPr>
        <w:t>UPR</w:t>
      </w:r>
      <w:r w:rsidR="00D722E8">
        <w:rPr>
          <w:rFonts w:ascii="Arial" w:hAnsi="Arial" w:cs="Arial"/>
        </w:rPr>
        <w:t>s</w:t>
      </w:r>
      <w:r>
        <w:rPr>
          <w:rFonts w:ascii="Arial" w:hAnsi="Arial" w:cs="Arial"/>
        </w:rPr>
        <w:t xml:space="preserve">. The Commission contended for national </w:t>
      </w:r>
      <w:r w:rsidR="00D722E8">
        <w:rPr>
          <w:rFonts w:ascii="Arial" w:hAnsi="Arial" w:cs="Arial"/>
        </w:rPr>
        <w:t xml:space="preserve">geographic </w:t>
      </w:r>
      <w:r>
        <w:rPr>
          <w:rFonts w:ascii="Arial" w:hAnsi="Arial" w:cs="Arial"/>
        </w:rPr>
        <w:t>market</w:t>
      </w:r>
      <w:r w:rsidR="00E77BBF">
        <w:rPr>
          <w:rFonts w:ascii="Arial" w:hAnsi="Arial" w:cs="Arial"/>
        </w:rPr>
        <w:t>s</w:t>
      </w:r>
      <w:r>
        <w:rPr>
          <w:rFonts w:ascii="Arial" w:hAnsi="Arial" w:cs="Arial"/>
        </w:rPr>
        <w:t xml:space="preserve"> </w:t>
      </w:r>
      <w:r w:rsidR="003E54AF">
        <w:rPr>
          <w:rFonts w:ascii="Arial" w:hAnsi="Arial" w:cs="Arial"/>
        </w:rPr>
        <w:t xml:space="preserve">in respect of </w:t>
      </w:r>
      <w:r w:rsidR="00575118">
        <w:rPr>
          <w:rFonts w:ascii="Arial" w:hAnsi="Arial" w:cs="Arial"/>
        </w:rPr>
        <w:t xml:space="preserve">both product </w:t>
      </w:r>
      <w:r w:rsidR="00575118">
        <w:rPr>
          <w:rFonts w:ascii="Arial" w:hAnsi="Arial" w:cs="Arial"/>
        </w:rPr>
        <w:lastRenderedPageBreak/>
        <w:t>markets</w:t>
      </w:r>
      <w:r w:rsidR="003E54AF">
        <w:rPr>
          <w:rFonts w:ascii="Arial" w:hAnsi="Arial" w:cs="Arial"/>
        </w:rPr>
        <w:t xml:space="preserve"> while</w:t>
      </w:r>
      <w:r>
        <w:rPr>
          <w:rFonts w:ascii="Arial" w:hAnsi="Arial" w:cs="Arial"/>
        </w:rPr>
        <w:t xml:space="preserve"> the merging parties </w:t>
      </w:r>
      <w:r w:rsidRPr="007E64B7">
        <w:rPr>
          <w:rFonts w:ascii="Arial" w:hAnsi="Arial" w:cs="Arial"/>
        </w:rPr>
        <w:t xml:space="preserve">sought to argue that the constraint of imports is such that </w:t>
      </w:r>
      <w:r w:rsidR="004E785F">
        <w:rPr>
          <w:rFonts w:ascii="Arial" w:hAnsi="Arial" w:cs="Arial"/>
        </w:rPr>
        <w:t xml:space="preserve">an </w:t>
      </w:r>
      <w:r w:rsidRPr="007E64B7">
        <w:rPr>
          <w:rFonts w:ascii="Arial" w:hAnsi="Arial" w:cs="Arial"/>
        </w:rPr>
        <w:t xml:space="preserve">international </w:t>
      </w:r>
      <w:r w:rsidR="00D722E8">
        <w:rPr>
          <w:rFonts w:ascii="Arial" w:hAnsi="Arial" w:cs="Arial"/>
        </w:rPr>
        <w:t xml:space="preserve">UPR </w:t>
      </w:r>
      <w:r w:rsidRPr="007E64B7">
        <w:rPr>
          <w:rFonts w:ascii="Arial" w:hAnsi="Arial" w:cs="Arial"/>
        </w:rPr>
        <w:t>market exist</w:t>
      </w:r>
      <w:r w:rsidR="004E785F">
        <w:rPr>
          <w:rFonts w:ascii="Arial" w:hAnsi="Arial" w:cs="Arial"/>
        </w:rPr>
        <w:t>s</w:t>
      </w:r>
      <w:r w:rsidRPr="007E64B7">
        <w:rPr>
          <w:rFonts w:ascii="Arial" w:hAnsi="Arial" w:cs="Arial"/>
        </w:rPr>
        <w:t xml:space="preserve">. </w:t>
      </w:r>
      <w:r w:rsidR="00AC31FD">
        <w:rPr>
          <w:rFonts w:ascii="Arial" w:hAnsi="Arial" w:cs="Arial"/>
        </w:rPr>
        <w:t>T</w:t>
      </w:r>
      <w:r w:rsidR="00AC31FD" w:rsidRPr="00A11950">
        <w:rPr>
          <w:rFonts w:ascii="Arial" w:hAnsi="Arial" w:cs="Arial"/>
        </w:rPr>
        <w:t>he merging parties</w:t>
      </w:r>
      <w:r w:rsidR="00AC31FD">
        <w:rPr>
          <w:rFonts w:ascii="Arial" w:hAnsi="Arial" w:cs="Arial"/>
        </w:rPr>
        <w:t xml:space="preserve"> further </w:t>
      </w:r>
      <w:r w:rsidR="00AC31FD" w:rsidRPr="00A11950">
        <w:rPr>
          <w:rFonts w:ascii="Arial" w:hAnsi="Arial" w:cs="Arial"/>
        </w:rPr>
        <w:t>argue</w:t>
      </w:r>
      <w:r w:rsidR="00AC31FD">
        <w:rPr>
          <w:rFonts w:ascii="Arial" w:hAnsi="Arial" w:cs="Arial"/>
        </w:rPr>
        <w:t>d</w:t>
      </w:r>
      <w:r w:rsidR="00AC31FD" w:rsidRPr="00A11950">
        <w:rPr>
          <w:rFonts w:ascii="Arial" w:hAnsi="Arial" w:cs="Arial"/>
        </w:rPr>
        <w:t xml:space="preserve"> that if </w:t>
      </w:r>
      <w:r w:rsidR="004E785F">
        <w:rPr>
          <w:rFonts w:ascii="Arial" w:hAnsi="Arial" w:cs="Arial"/>
        </w:rPr>
        <w:t xml:space="preserve">the merged entity </w:t>
      </w:r>
      <w:r w:rsidR="004E785F" w:rsidRPr="00A11950">
        <w:rPr>
          <w:rFonts w:ascii="Arial" w:hAnsi="Arial" w:cs="Arial"/>
        </w:rPr>
        <w:t xml:space="preserve">were to increase </w:t>
      </w:r>
      <w:r w:rsidR="00AC31FD" w:rsidRPr="00A11950">
        <w:rPr>
          <w:rFonts w:ascii="Arial" w:hAnsi="Arial" w:cs="Arial"/>
        </w:rPr>
        <w:t xml:space="preserve">domestic prices by a small but significant amount of </w:t>
      </w:r>
      <w:r w:rsidR="00AC31FD">
        <w:rPr>
          <w:rFonts w:ascii="Arial" w:hAnsi="Arial" w:cs="Arial"/>
        </w:rPr>
        <w:t xml:space="preserve">say </w:t>
      </w:r>
      <w:r w:rsidR="00AC31FD" w:rsidRPr="00A11950">
        <w:rPr>
          <w:rFonts w:ascii="Arial" w:hAnsi="Arial" w:cs="Arial"/>
        </w:rPr>
        <w:t>5</w:t>
      </w:r>
      <w:r w:rsidR="004E785F">
        <w:rPr>
          <w:rFonts w:ascii="Arial" w:hAnsi="Arial" w:cs="Arial"/>
        </w:rPr>
        <w:t xml:space="preserve">% to </w:t>
      </w:r>
      <w:r w:rsidR="00AC31FD" w:rsidRPr="00A11950">
        <w:rPr>
          <w:rFonts w:ascii="Arial" w:hAnsi="Arial" w:cs="Arial"/>
        </w:rPr>
        <w:t xml:space="preserve">10% </w:t>
      </w:r>
      <w:r w:rsidR="00AC31FD">
        <w:rPr>
          <w:rFonts w:ascii="Arial" w:hAnsi="Arial" w:cs="Arial"/>
        </w:rPr>
        <w:t>post</w:t>
      </w:r>
      <w:r w:rsidR="004E785F">
        <w:rPr>
          <w:rFonts w:ascii="Arial" w:hAnsi="Arial" w:cs="Arial"/>
        </w:rPr>
        <w:t>-</w:t>
      </w:r>
      <w:r w:rsidR="00AC31FD">
        <w:rPr>
          <w:rFonts w:ascii="Arial" w:hAnsi="Arial" w:cs="Arial"/>
        </w:rPr>
        <w:t xml:space="preserve">merger </w:t>
      </w:r>
      <w:r w:rsidR="00AC31FD" w:rsidRPr="00A11950">
        <w:rPr>
          <w:rFonts w:ascii="Arial" w:hAnsi="Arial" w:cs="Arial"/>
        </w:rPr>
        <w:t>then imports would increase significantly such that the price increase would be unprofitable.</w:t>
      </w:r>
      <w:r w:rsidR="00AC31FD">
        <w:rPr>
          <w:rStyle w:val="FootnoteReference"/>
          <w:rFonts w:ascii="Arial" w:hAnsi="Arial" w:cs="Arial"/>
        </w:rPr>
        <w:footnoteReference w:id="34"/>
      </w:r>
      <w:r w:rsidR="00AC31FD" w:rsidRPr="00A11950">
        <w:rPr>
          <w:rFonts w:ascii="Arial" w:hAnsi="Arial" w:cs="Arial"/>
        </w:rPr>
        <w:t xml:space="preserve"> </w:t>
      </w:r>
    </w:p>
    <w:p w:rsidR="001D0074" w:rsidRPr="001D0074" w:rsidRDefault="001D0074" w:rsidP="001D0074">
      <w:pPr>
        <w:pStyle w:val="ListParagraph"/>
        <w:spacing w:after="240" w:line="360" w:lineRule="auto"/>
        <w:ind w:left="0"/>
        <w:jc w:val="both"/>
        <w:rPr>
          <w:rFonts w:ascii="Arial" w:hAnsi="Arial" w:cs="Arial"/>
          <w:i/>
        </w:rPr>
      </w:pPr>
      <w:r w:rsidRPr="001D0074">
        <w:rPr>
          <w:rFonts w:ascii="Arial" w:hAnsi="Arial" w:cs="Arial"/>
          <w:i/>
        </w:rPr>
        <w:t>Assessment</w:t>
      </w:r>
    </w:p>
    <w:p w:rsidR="00AE6633" w:rsidRDefault="00E24FB7" w:rsidP="00651D5B">
      <w:pPr>
        <w:pStyle w:val="ListParagraph"/>
        <w:numPr>
          <w:ilvl w:val="0"/>
          <w:numId w:val="2"/>
        </w:numPr>
        <w:spacing w:after="240" w:line="360" w:lineRule="auto"/>
        <w:ind w:left="0" w:firstLine="0"/>
        <w:jc w:val="both"/>
        <w:rPr>
          <w:rFonts w:ascii="Arial" w:hAnsi="Arial" w:cs="Arial"/>
        </w:rPr>
      </w:pPr>
      <w:r w:rsidRPr="00651D5B">
        <w:rPr>
          <w:rFonts w:ascii="Arial" w:hAnsi="Arial" w:cs="Arial"/>
        </w:rPr>
        <w:t xml:space="preserve">Imports </w:t>
      </w:r>
      <w:r w:rsidR="00E933B6" w:rsidRPr="00651D5B">
        <w:rPr>
          <w:rFonts w:ascii="Arial" w:hAnsi="Arial" w:cs="Arial"/>
        </w:rPr>
        <w:t xml:space="preserve">of UPR </w:t>
      </w:r>
      <w:r w:rsidRPr="00651D5B">
        <w:rPr>
          <w:rFonts w:ascii="Arial" w:hAnsi="Arial" w:cs="Arial"/>
        </w:rPr>
        <w:t xml:space="preserve">account for </w:t>
      </w:r>
      <w:r w:rsidR="009D7E08" w:rsidRPr="00651D5B">
        <w:rPr>
          <w:rFonts w:ascii="Arial" w:hAnsi="Arial" w:cs="Arial"/>
        </w:rPr>
        <w:t>approximately</w:t>
      </w:r>
      <w:r w:rsidRPr="00651D5B">
        <w:rPr>
          <w:rFonts w:ascii="Arial" w:hAnsi="Arial" w:cs="Arial"/>
        </w:rPr>
        <w:t xml:space="preserve"> 8% of </w:t>
      </w:r>
      <w:r w:rsidR="001D0074" w:rsidRPr="00651D5B">
        <w:rPr>
          <w:rFonts w:ascii="Arial" w:hAnsi="Arial" w:cs="Arial"/>
        </w:rPr>
        <w:t xml:space="preserve">the </w:t>
      </w:r>
      <w:r w:rsidRPr="00651D5B">
        <w:rPr>
          <w:rFonts w:ascii="Arial" w:hAnsi="Arial" w:cs="Arial"/>
        </w:rPr>
        <w:t xml:space="preserve">total UPRs sold in </w:t>
      </w:r>
      <w:r w:rsidR="001D0074" w:rsidRPr="00651D5B">
        <w:rPr>
          <w:rFonts w:ascii="Arial" w:hAnsi="Arial" w:cs="Arial"/>
        </w:rPr>
        <w:t>South Africa</w:t>
      </w:r>
      <w:r w:rsidR="003A2F45">
        <w:rPr>
          <w:rStyle w:val="FootnoteReference"/>
          <w:rFonts w:ascii="Arial" w:hAnsi="Arial" w:cs="Arial"/>
        </w:rPr>
        <w:footnoteReference w:id="35"/>
      </w:r>
      <w:r w:rsidRPr="00651D5B">
        <w:rPr>
          <w:rFonts w:ascii="Arial" w:hAnsi="Arial" w:cs="Arial"/>
        </w:rPr>
        <w:t xml:space="preserve"> and </w:t>
      </w:r>
      <w:r w:rsidR="009D7E08" w:rsidRPr="00651D5B">
        <w:rPr>
          <w:rFonts w:ascii="Arial" w:hAnsi="Arial" w:cs="Arial"/>
        </w:rPr>
        <w:t xml:space="preserve">approximately </w:t>
      </w:r>
      <w:r w:rsidRPr="00651D5B">
        <w:rPr>
          <w:rFonts w:ascii="Arial" w:hAnsi="Arial" w:cs="Arial"/>
        </w:rPr>
        <w:t xml:space="preserve">10% if one </w:t>
      </w:r>
      <w:r w:rsidR="004546AC" w:rsidRPr="00651D5B">
        <w:rPr>
          <w:rFonts w:ascii="Arial" w:hAnsi="Arial" w:cs="Arial"/>
        </w:rPr>
        <w:t xml:space="preserve">excludes </w:t>
      </w:r>
      <w:r w:rsidRPr="00651D5B">
        <w:rPr>
          <w:rFonts w:ascii="Arial" w:hAnsi="Arial" w:cs="Arial"/>
        </w:rPr>
        <w:t>mining</w:t>
      </w:r>
      <w:r w:rsidR="009D7E08" w:rsidRPr="00651D5B">
        <w:rPr>
          <w:rFonts w:ascii="Arial" w:hAnsi="Arial" w:cs="Arial"/>
        </w:rPr>
        <w:t xml:space="preserve"> UPR</w:t>
      </w:r>
      <w:r w:rsidR="004546AC" w:rsidRPr="00651D5B">
        <w:rPr>
          <w:rFonts w:ascii="Arial" w:hAnsi="Arial" w:cs="Arial"/>
        </w:rPr>
        <w:t xml:space="preserve"> from the</w:t>
      </w:r>
      <w:r w:rsidR="001D0074" w:rsidRPr="00651D5B">
        <w:rPr>
          <w:rFonts w:ascii="Arial" w:hAnsi="Arial" w:cs="Arial"/>
        </w:rPr>
        <w:t xml:space="preserve"> calculation</w:t>
      </w:r>
      <w:r w:rsidRPr="00651D5B">
        <w:rPr>
          <w:rFonts w:ascii="Arial" w:hAnsi="Arial" w:cs="Arial"/>
        </w:rPr>
        <w:t>.</w:t>
      </w:r>
      <w:r>
        <w:rPr>
          <w:rStyle w:val="FootnoteReference"/>
          <w:rFonts w:ascii="Arial" w:hAnsi="Arial" w:cs="Arial"/>
        </w:rPr>
        <w:footnoteReference w:id="36"/>
      </w:r>
      <w:r w:rsidRPr="00651D5B">
        <w:rPr>
          <w:rFonts w:ascii="Arial" w:hAnsi="Arial" w:cs="Arial"/>
        </w:rPr>
        <w:t xml:space="preserve"> </w:t>
      </w:r>
      <w:r w:rsidR="00247929" w:rsidRPr="00651D5B">
        <w:rPr>
          <w:rFonts w:ascii="Arial" w:hAnsi="Arial" w:cs="Arial"/>
        </w:rPr>
        <w:t xml:space="preserve">It is however important to </w:t>
      </w:r>
      <w:r w:rsidR="00135183">
        <w:rPr>
          <w:rFonts w:ascii="Arial" w:hAnsi="Arial" w:cs="Arial"/>
        </w:rPr>
        <w:t xml:space="preserve">also </w:t>
      </w:r>
      <w:r w:rsidR="00247929" w:rsidRPr="00651D5B">
        <w:rPr>
          <w:rFonts w:ascii="Arial" w:hAnsi="Arial" w:cs="Arial"/>
        </w:rPr>
        <w:t>consider the types of UPR that are imported into South Africa</w:t>
      </w:r>
      <w:r w:rsidR="00E77BBF">
        <w:rPr>
          <w:rFonts w:ascii="Arial" w:hAnsi="Arial" w:cs="Arial"/>
        </w:rPr>
        <w:t xml:space="preserve">, specifically whether </w:t>
      </w:r>
      <w:r w:rsidR="006447C6">
        <w:rPr>
          <w:rFonts w:ascii="Arial" w:hAnsi="Arial" w:cs="Arial"/>
        </w:rPr>
        <w:t xml:space="preserve">the imports are of </w:t>
      </w:r>
      <w:r w:rsidR="00E77BBF">
        <w:rPr>
          <w:rFonts w:ascii="Arial" w:hAnsi="Arial" w:cs="Arial"/>
        </w:rPr>
        <w:t>general purpose UPR or specialised UPR</w:t>
      </w:r>
      <w:r w:rsidR="00247929" w:rsidRPr="00651D5B">
        <w:rPr>
          <w:rFonts w:ascii="Arial" w:hAnsi="Arial" w:cs="Arial"/>
        </w:rPr>
        <w:t xml:space="preserve">. </w:t>
      </w:r>
    </w:p>
    <w:p w:rsidR="00DE1353" w:rsidRPr="00AE6633" w:rsidRDefault="001D0074" w:rsidP="00DE1353">
      <w:pPr>
        <w:pStyle w:val="ListParagraph"/>
        <w:numPr>
          <w:ilvl w:val="0"/>
          <w:numId w:val="2"/>
        </w:numPr>
        <w:spacing w:after="240" w:line="360" w:lineRule="auto"/>
        <w:ind w:left="0" w:firstLine="0"/>
        <w:jc w:val="both"/>
        <w:rPr>
          <w:rFonts w:ascii="Arial" w:hAnsi="Arial" w:cs="Arial"/>
        </w:rPr>
      </w:pPr>
      <w:r w:rsidRPr="00AE6633">
        <w:rPr>
          <w:rFonts w:ascii="Arial" w:hAnsi="Arial" w:cs="Arial"/>
        </w:rPr>
        <w:t>With regard to mining UPR, we note that there have been no imports of mining UPR for some 20 years.</w:t>
      </w:r>
      <w:r w:rsidR="00247929" w:rsidRPr="00AE6633">
        <w:rPr>
          <w:rFonts w:ascii="Arial" w:hAnsi="Arial" w:cs="Arial"/>
        </w:rPr>
        <w:t xml:space="preserve"> </w:t>
      </w:r>
      <w:r w:rsidR="00651D5B" w:rsidRPr="00AE6633">
        <w:rPr>
          <w:rFonts w:ascii="Arial" w:hAnsi="Arial" w:cs="Arial"/>
        </w:rPr>
        <w:t>Duma indicated that Minova last imported mining UPR about 20 years ago (in the 1990s) and stopped importing because it became unviable due to the exchange rates and also because the local market became more competitive.</w:t>
      </w:r>
      <w:r w:rsidR="00651D5B">
        <w:rPr>
          <w:rStyle w:val="FootnoteReference"/>
          <w:rFonts w:ascii="Arial" w:hAnsi="Arial" w:cs="Arial"/>
        </w:rPr>
        <w:footnoteReference w:id="37"/>
      </w:r>
      <w:r w:rsidR="00AE6633" w:rsidRPr="00AE6633">
        <w:rPr>
          <w:rFonts w:ascii="Arial" w:hAnsi="Arial" w:cs="Arial"/>
        </w:rPr>
        <w:t xml:space="preserve"> </w:t>
      </w:r>
      <w:r w:rsidR="00DE1353" w:rsidRPr="00AE6633">
        <w:rPr>
          <w:rFonts w:ascii="Arial" w:hAnsi="Arial" w:cs="Arial"/>
        </w:rPr>
        <w:t>Hahn s</w:t>
      </w:r>
      <w:r w:rsidR="00AE6633" w:rsidRPr="00AE6633">
        <w:rPr>
          <w:rFonts w:ascii="Arial" w:hAnsi="Arial" w:cs="Arial"/>
        </w:rPr>
        <w:t>t</w:t>
      </w:r>
      <w:r w:rsidR="00DE1353" w:rsidRPr="00AE6633">
        <w:rPr>
          <w:rFonts w:ascii="Arial" w:hAnsi="Arial" w:cs="Arial"/>
        </w:rPr>
        <w:t>ated that for some years during the 1990s, the then Fosroc imported UPR from the USA. The price of imports however then became higher than local supply as local technology was developed.</w:t>
      </w:r>
      <w:r w:rsidR="00DE1353">
        <w:rPr>
          <w:rStyle w:val="FootnoteReference"/>
          <w:rFonts w:ascii="Arial" w:hAnsi="Arial" w:cs="Arial"/>
        </w:rPr>
        <w:footnoteReference w:id="38"/>
      </w:r>
    </w:p>
    <w:p w:rsidR="00F02DDF" w:rsidRPr="008279F7" w:rsidRDefault="00037F27" w:rsidP="0080582B">
      <w:pPr>
        <w:pStyle w:val="ListParagraph"/>
        <w:numPr>
          <w:ilvl w:val="0"/>
          <w:numId w:val="2"/>
        </w:numPr>
        <w:tabs>
          <w:tab w:val="num" w:pos="567"/>
        </w:tabs>
        <w:spacing w:after="240" w:line="360" w:lineRule="auto"/>
        <w:ind w:left="0" w:firstLine="0"/>
        <w:jc w:val="both"/>
        <w:rPr>
          <w:rFonts w:ascii="Arial" w:hAnsi="Arial" w:cs="Arial"/>
        </w:rPr>
      </w:pPr>
      <w:r w:rsidRPr="008279F7">
        <w:rPr>
          <w:rFonts w:ascii="Arial" w:hAnsi="Arial" w:cs="Arial"/>
        </w:rPr>
        <w:t>UPR</w:t>
      </w:r>
      <w:r w:rsidR="00002126" w:rsidRPr="008279F7">
        <w:rPr>
          <w:rFonts w:ascii="Arial" w:hAnsi="Arial" w:cs="Arial"/>
        </w:rPr>
        <w:t>s are</w:t>
      </w:r>
      <w:r w:rsidRPr="008279F7">
        <w:rPr>
          <w:rFonts w:ascii="Arial" w:hAnsi="Arial" w:cs="Arial"/>
        </w:rPr>
        <w:t xml:space="preserve"> imported </w:t>
      </w:r>
      <w:r w:rsidR="001D0074" w:rsidRPr="008279F7">
        <w:rPr>
          <w:rFonts w:ascii="Arial" w:hAnsi="Arial" w:cs="Arial"/>
        </w:rPr>
        <w:t xml:space="preserve">into South Africa </w:t>
      </w:r>
      <w:r w:rsidRPr="008279F7">
        <w:rPr>
          <w:rFonts w:ascii="Arial" w:hAnsi="Arial" w:cs="Arial"/>
          <w:i/>
        </w:rPr>
        <w:t>inter alia</w:t>
      </w:r>
      <w:r w:rsidRPr="008279F7">
        <w:rPr>
          <w:rFonts w:ascii="Arial" w:hAnsi="Arial" w:cs="Arial"/>
        </w:rPr>
        <w:t xml:space="preserve"> by resellers or distributors such as </w:t>
      </w:r>
      <w:r w:rsidR="004D0D00" w:rsidRPr="008279F7">
        <w:rPr>
          <w:rFonts w:ascii="Arial" w:hAnsi="Arial" w:cs="Arial"/>
        </w:rPr>
        <w:t xml:space="preserve">ADD Resins, </w:t>
      </w:r>
      <w:r w:rsidRPr="008279F7">
        <w:rPr>
          <w:rFonts w:ascii="Arial" w:hAnsi="Arial" w:cs="Arial"/>
        </w:rPr>
        <w:t xml:space="preserve">Atlin, </w:t>
      </w:r>
      <w:r w:rsidR="004D0D00" w:rsidRPr="008279F7">
        <w:rPr>
          <w:rFonts w:ascii="Arial" w:hAnsi="Arial" w:cs="Arial"/>
        </w:rPr>
        <w:t xml:space="preserve">Canasia, Dura, </w:t>
      </w:r>
      <w:r w:rsidRPr="008279F7">
        <w:rPr>
          <w:rFonts w:ascii="Arial" w:hAnsi="Arial" w:cs="Arial"/>
        </w:rPr>
        <w:t xml:space="preserve">Fowkes Brothers </w:t>
      </w:r>
      <w:r w:rsidR="004D0D00" w:rsidRPr="008279F7">
        <w:rPr>
          <w:rFonts w:ascii="Arial" w:hAnsi="Arial" w:cs="Arial"/>
        </w:rPr>
        <w:t xml:space="preserve">and </w:t>
      </w:r>
      <w:r w:rsidRPr="008279F7">
        <w:rPr>
          <w:rFonts w:ascii="Arial" w:hAnsi="Arial" w:cs="Arial"/>
        </w:rPr>
        <w:t>Jushi.</w:t>
      </w:r>
      <w:r w:rsidR="00CC4297" w:rsidRPr="008279F7">
        <w:rPr>
          <w:rFonts w:ascii="Arial" w:hAnsi="Arial" w:cs="Arial"/>
        </w:rPr>
        <w:t xml:space="preserve"> Certain UPR customers also import UPR directly from international supplier</w:t>
      </w:r>
      <w:r w:rsidR="009464D9" w:rsidRPr="008279F7">
        <w:rPr>
          <w:rFonts w:ascii="Arial" w:hAnsi="Arial" w:cs="Arial"/>
        </w:rPr>
        <w:t>s</w:t>
      </w:r>
      <w:r w:rsidR="001D0074" w:rsidRPr="008279F7">
        <w:rPr>
          <w:rFonts w:ascii="Arial" w:hAnsi="Arial" w:cs="Arial"/>
        </w:rPr>
        <w:t xml:space="preserve">. </w:t>
      </w:r>
      <w:r w:rsidR="00CC4297" w:rsidRPr="008279F7">
        <w:rPr>
          <w:rFonts w:ascii="Arial" w:hAnsi="Arial" w:cs="Arial"/>
        </w:rPr>
        <w:t xml:space="preserve">V&amp;A </w:t>
      </w:r>
      <w:r w:rsidR="005F7683" w:rsidRPr="008279F7">
        <w:rPr>
          <w:rFonts w:ascii="Arial" w:hAnsi="Arial" w:cs="Arial"/>
        </w:rPr>
        <w:t>and Paintchem</w:t>
      </w:r>
      <w:r w:rsidR="001D0074" w:rsidRPr="008279F7">
        <w:rPr>
          <w:rFonts w:ascii="Arial" w:hAnsi="Arial" w:cs="Arial"/>
        </w:rPr>
        <w:t>,</w:t>
      </w:r>
      <w:r w:rsidR="005F7683" w:rsidRPr="008279F7">
        <w:rPr>
          <w:rFonts w:ascii="Arial" w:hAnsi="Arial" w:cs="Arial"/>
        </w:rPr>
        <w:t xml:space="preserve"> </w:t>
      </w:r>
      <w:r w:rsidR="001D0074" w:rsidRPr="008279F7">
        <w:rPr>
          <w:rFonts w:ascii="Arial" w:hAnsi="Arial" w:cs="Arial"/>
        </w:rPr>
        <w:t xml:space="preserve">for example, </w:t>
      </w:r>
      <w:r w:rsidR="00CC4297" w:rsidRPr="008279F7">
        <w:rPr>
          <w:rFonts w:ascii="Arial" w:hAnsi="Arial" w:cs="Arial"/>
        </w:rPr>
        <w:t>currently import</w:t>
      </w:r>
      <w:r w:rsidR="001D0074" w:rsidRPr="008279F7">
        <w:rPr>
          <w:rFonts w:ascii="Arial" w:hAnsi="Arial" w:cs="Arial"/>
        </w:rPr>
        <w:t xml:space="preserve"> UPRs</w:t>
      </w:r>
      <w:r w:rsidR="00CC4297" w:rsidRPr="008279F7">
        <w:rPr>
          <w:rFonts w:ascii="Arial" w:hAnsi="Arial" w:cs="Arial"/>
        </w:rPr>
        <w:t xml:space="preserve"> from </w:t>
      </w:r>
      <w:r w:rsidR="00DA554B" w:rsidRPr="008279F7">
        <w:rPr>
          <w:rFonts w:ascii="Arial" w:hAnsi="Arial" w:cs="Arial"/>
        </w:rPr>
        <w:t>[...]</w:t>
      </w:r>
      <w:r w:rsidR="0094722C" w:rsidRPr="008279F7">
        <w:rPr>
          <w:rFonts w:ascii="Arial" w:hAnsi="Arial" w:cs="Arial"/>
        </w:rPr>
        <w:t xml:space="preserve"> in [...]</w:t>
      </w:r>
      <w:r w:rsidR="005F7683" w:rsidRPr="008279F7">
        <w:rPr>
          <w:rFonts w:ascii="Arial" w:hAnsi="Arial" w:cs="Arial"/>
        </w:rPr>
        <w:t>.</w:t>
      </w:r>
      <w:r w:rsidR="00D61B99" w:rsidRPr="008279F7">
        <w:rPr>
          <w:rStyle w:val="FootnoteReference"/>
          <w:rFonts w:ascii="Arial" w:hAnsi="Arial" w:cs="Arial"/>
        </w:rPr>
        <w:footnoteReference w:id="39"/>
      </w:r>
      <w:r w:rsidR="00F42EEF" w:rsidRPr="008279F7">
        <w:rPr>
          <w:rFonts w:ascii="Arial" w:hAnsi="Arial" w:cs="Arial"/>
        </w:rPr>
        <w:t xml:space="preserve"> </w:t>
      </w:r>
    </w:p>
    <w:p w:rsidR="00247929" w:rsidRPr="0009334A" w:rsidRDefault="00214016" w:rsidP="0080582B">
      <w:pPr>
        <w:pStyle w:val="ListParagraph"/>
        <w:numPr>
          <w:ilvl w:val="0"/>
          <w:numId w:val="2"/>
        </w:numPr>
        <w:spacing w:after="240" w:line="360" w:lineRule="auto"/>
        <w:ind w:left="0" w:firstLine="0"/>
        <w:jc w:val="both"/>
        <w:rPr>
          <w:rFonts w:ascii="Arial" w:hAnsi="Arial" w:cs="Arial"/>
        </w:rPr>
      </w:pPr>
      <w:r w:rsidRPr="008279F7">
        <w:rPr>
          <w:rFonts w:ascii="Arial" w:hAnsi="Arial" w:cs="Arial"/>
        </w:rPr>
        <w:t>T</w:t>
      </w:r>
      <w:r w:rsidR="00247929" w:rsidRPr="008279F7">
        <w:rPr>
          <w:rFonts w:ascii="Arial" w:hAnsi="Arial" w:cs="Arial"/>
        </w:rPr>
        <w:t xml:space="preserve">he majority of imports of UPR into South Africa appear to be from </w:t>
      </w:r>
      <w:r w:rsidR="009464D9" w:rsidRPr="008279F7">
        <w:rPr>
          <w:rFonts w:ascii="Arial" w:hAnsi="Arial" w:cs="Arial"/>
        </w:rPr>
        <w:t xml:space="preserve">UPR </w:t>
      </w:r>
      <w:r w:rsidR="00247929" w:rsidRPr="008279F7">
        <w:rPr>
          <w:rFonts w:ascii="Arial" w:hAnsi="Arial" w:cs="Arial"/>
        </w:rPr>
        <w:t>resellers</w:t>
      </w:r>
      <w:r w:rsidR="00C837A4" w:rsidRPr="008279F7">
        <w:rPr>
          <w:rFonts w:ascii="Arial" w:hAnsi="Arial" w:cs="Arial"/>
        </w:rPr>
        <w:t xml:space="preserve"> and</w:t>
      </w:r>
      <w:r w:rsidRPr="008279F7">
        <w:rPr>
          <w:rFonts w:ascii="Arial" w:hAnsi="Arial" w:cs="Arial"/>
        </w:rPr>
        <w:t xml:space="preserve"> the overwhelming majority of customers do not currently </w:t>
      </w:r>
      <w:r w:rsidR="00623275" w:rsidRPr="008279F7">
        <w:rPr>
          <w:rFonts w:ascii="Arial" w:hAnsi="Arial" w:cs="Arial"/>
        </w:rPr>
        <w:t xml:space="preserve">directly </w:t>
      </w:r>
      <w:r w:rsidRPr="008279F7">
        <w:rPr>
          <w:rFonts w:ascii="Arial" w:hAnsi="Arial" w:cs="Arial"/>
        </w:rPr>
        <w:t>import</w:t>
      </w:r>
      <w:r w:rsidR="00125FAD" w:rsidRPr="008279F7">
        <w:rPr>
          <w:rFonts w:ascii="Arial" w:hAnsi="Arial" w:cs="Arial"/>
        </w:rPr>
        <w:t xml:space="preserve"> (also se</w:t>
      </w:r>
      <w:r w:rsidR="00827A74" w:rsidRPr="008279F7">
        <w:rPr>
          <w:rFonts w:ascii="Arial" w:hAnsi="Arial" w:cs="Arial"/>
        </w:rPr>
        <w:t>e</w:t>
      </w:r>
      <w:r w:rsidR="00125FAD" w:rsidRPr="008279F7">
        <w:rPr>
          <w:rFonts w:ascii="Arial" w:hAnsi="Arial" w:cs="Arial"/>
        </w:rPr>
        <w:t xml:space="preserve"> paragraph</w:t>
      </w:r>
      <w:r w:rsidR="00827A74" w:rsidRPr="008279F7">
        <w:rPr>
          <w:rFonts w:ascii="Arial" w:hAnsi="Arial" w:cs="Arial"/>
        </w:rPr>
        <w:t>s</w:t>
      </w:r>
      <w:r w:rsidR="00125FAD" w:rsidRPr="008279F7">
        <w:rPr>
          <w:rFonts w:ascii="Arial" w:hAnsi="Arial" w:cs="Arial"/>
        </w:rPr>
        <w:t xml:space="preserve"> </w:t>
      </w:r>
      <w:r w:rsidR="003A2F45" w:rsidRPr="008279F7">
        <w:rPr>
          <w:rFonts w:ascii="Arial" w:hAnsi="Arial" w:cs="Arial"/>
        </w:rPr>
        <w:t>49</w:t>
      </w:r>
      <w:r w:rsidR="00240FBD" w:rsidRPr="008279F7">
        <w:rPr>
          <w:rFonts w:ascii="Arial" w:hAnsi="Arial" w:cs="Arial"/>
        </w:rPr>
        <w:t xml:space="preserve"> to </w:t>
      </w:r>
      <w:r w:rsidR="003A2F45" w:rsidRPr="008279F7">
        <w:rPr>
          <w:rFonts w:ascii="Arial" w:hAnsi="Arial" w:cs="Arial"/>
        </w:rPr>
        <w:t xml:space="preserve">51 </w:t>
      </w:r>
      <w:r w:rsidR="00125FAD" w:rsidRPr="008279F7">
        <w:rPr>
          <w:rFonts w:ascii="Arial" w:hAnsi="Arial" w:cs="Arial"/>
        </w:rPr>
        <w:t>below)</w:t>
      </w:r>
      <w:r w:rsidR="00247929" w:rsidRPr="008279F7">
        <w:rPr>
          <w:rFonts w:ascii="Arial" w:hAnsi="Arial" w:cs="Arial"/>
        </w:rPr>
        <w:t>.</w:t>
      </w:r>
      <w:r w:rsidR="00247929" w:rsidRPr="0009334A">
        <w:rPr>
          <w:rFonts w:ascii="Arial" w:hAnsi="Arial" w:cs="Arial"/>
        </w:rPr>
        <w:t xml:space="preserve"> </w:t>
      </w:r>
      <w:r w:rsidR="009464D9">
        <w:rPr>
          <w:rFonts w:ascii="Arial" w:hAnsi="Arial" w:cs="Arial"/>
        </w:rPr>
        <w:t>Furtherm</w:t>
      </w:r>
      <w:r w:rsidR="00126035">
        <w:rPr>
          <w:rFonts w:ascii="Arial" w:hAnsi="Arial" w:cs="Arial"/>
        </w:rPr>
        <w:t>o</w:t>
      </w:r>
      <w:r w:rsidR="009464D9">
        <w:rPr>
          <w:rFonts w:ascii="Arial" w:hAnsi="Arial" w:cs="Arial"/>
        </w:rPr>
        <w:t xml:space="preserve">re, </w:t>
      </w:r>
      <w:r w:rsidR="00623275">
        <w:rPr>
          <w:rFonts w:ascii="Arial" w:hAnsi="Arial" w:cs="Arial"/>
        </w:rPr>
        <w:t xml:space="preserve">resin </w:t>
      </w:r>
      <w:r w:rsidR="009464D9">
        <w:rPr>
          <w:rFonts w:ascii="Arial" w:hAnsi="Arial" w:cs="Arial"/>
        </w:rPr>
        <w:t>i</w:t>
      </w:r>
      <w:r w:rsidR="00247929" w:rsidRPr="0009334A">
        <w:rPr>
          <w:rFonts w:ascii="Arial" w:hAnsi="Arial" w:cs="Arial"/>
        </w:rPr>
        <w:t>mport</w:t>
      </w:r>
      <w:r w:rsidR="00623275">
        <w:rPr>
          <w:rFonts w:ascii="Arial" w:hAnsi="Arial" w:cs="Arial"/>
        </w:rPr>
        <w:t>s</w:t>
      </w:r>
      <w:r w:rsidR="00247929" w:rsidRPr="0009334A">
        <w:rPr>
          <w:rFonts w:ascii="Arial" w:hAnsi="Arial" w:cs="Arial"/>
        </w:rPr>
        <w:t xml:space="preserve"> by the resellers </w:t>
      </w:r>
      <w:r w:rsidR="00623275">
        <w:rPr>
          <w:rFonts w:ascii="Arial" w:hAnsi="Arial" w:cs="Arial"/>
        </w:rPr>
        <w:t>are</w:t>
      </w:r>
      <w:r w:rsidR="00247929" w:rsidRPr="0009334A">
        <w:rPr>
          <w:rFonts w:ascii="Arial" w:hAnsi="Arial" w:cs="Arial"/>
        </w:rPr>
        <w:t xml:space="preserve"> primarily focused on basic general purpose UPRs. For example, Niser’s imports were dominated by general purpose product</w:t>
      </w:r>
      <w:r w:rsidR="00247929">
        <w:rPr>
          <w:rStyle w:val="FootnoteReference"/>
          <w:rFonts w:ascii="Arial" w:hAnsi="Arial" w:cs="Arial"/>
        </w:rPr>
        <w:footnoteReference w:id="40"/>
      </w:r>
      <w:r w:rsidR="00247929" w:rsidRPr="0009334A">
        <w:rPr>
          <w:rFonts w:ascii="Arial" w:hAnsi="Arial" w:cs="Arial"/>
        </w:rPr>
        <w:t xml:space="preserve"> and the vast majority of Fowkes Brothers’ impo</w:t>
      </w:r>
      <w:r w:rsidR="00623275">
        <w:rPr>
          <w:rFonts w:ascii="Arial" w:hAnsi="Arial" w:cs="Arial"/>
        </w:rPr>
        <w:t>r</w:t>
      </w:r>
      <w:r w:rsidR="00247929" w:rsidRPr="0009334A">
        <w:rPr>
          <w:rFonts w:ascii="Arial" w:hAnsi="Arial" w:cs="Arial"/>
        </w:rPr>
        <w:t xml:space="preserve">ts were of </w:t>
      </w:r>
      <w:r w:rsidR="00247929" w:rsidRPr="0009334A">
        <w:rPr>
          <w:rFonts w:ascii="Arial" w:hAnsi="Arial" w:cs="Arial"/>
        </w:rPr>
        <w:lastRenderedPageBreak/>
        <w:t>general purpose UPR.</w:t>
      </w:r>
      <w:r w:rsidR="00247929">
        <w:rPr>
          <w:rStyle w:val="FootnoteReference"/>
          <w:rFonts w:ascii="Arial" w:hAnsi="Arial" w:cs="Arial"/>
        </w:rPr>
        <w:footnoteReference w:id="41"/>
      </w:r>
      <w:r w:rsidR="00247929" w:rsidRPr="0009334A">
        <w:rPr>
          <w:rFonts w:ascii="Arial" w:hAnsi="Arial" w:cs="Arial"/>
        </w:rPr>
        <w:t xml:space="preserve"> The resellers who testified at the hearing </w:t>
      </w:r>
      <w:r w:rsidR="0069338C">
        <w:rPr>
          <w:rFonts w:ascii="Arial" w:hAnsi="Arial" w:cs="Arial"/>
        </w:rPr>
        <w:t xml:space="preserve">also </w:t>
      </w:r>
      <w:r w:rsidR="00247929" w:rsidRPr="0009334A">
        <w:rPr>
          <w:rFonts w:ascii="Arial" w:hAnsi="Arial" w:cs="Arial"/>
        </w:rPr>
        <w:t xml:space="preserve">confirmed that they primarily sell to smaller </w:t>
      </w:r>
      <w:r w:rsidR="00623275">
        <w:rPr>
          <w:rFonts w:ascii="Arial" w:hAnsi="Arial" w:cs="Arial"/>
        </w:rPr>
        <w:t xml:space="preserve">UPR </w:t>
      </w:r>
      <w:r w:rsidR="00247929" w:rsidRPr="0009334A">
        <w:rPr>
          <w:rFonts w:ascii="Arial" w:hAnsi="Arial" w:cs="Arial"/>
        </w:rPr>
        <w:t>customers.</w:t>
      </w:r>
      <w:r w:rsidR="00247929">
        <w:rPr>
          <w:rStyle w:val="FootnoteReference"/>
          <w:rFonts w:ascii="Arial" w:hAnsi="Arial" w:cs="Arial"/>
        </w:rPr>
        <w:footnoteReference w:id="42"/>
      </w:r>
      <w:r w:rsidR="00247929" w:rsidRPr="0009334A">
        <w:rPr>
          <w:rFonts w:ascii="Arial" w:hAnsi="Arial" w:cs="Arial"/>
        </w:rPr>
        <w:t xml:space="preserve"> </w:t>
      </w:r>
    </w:p>
    <w:p w:rsidR="00A367E1" w:rsidRDefault="00623275" w:rsidP="00A367E1">
      <w:pPr>
        <w:pStyle w:val="ListParagraph"/>
        <w:numPr>
          <w:ilvl w:val="0"/>
          <w:numId w:val="2"/>
        </w:numPr>
        <w:spacing w:after="240" w:line="360" w:lineRule="auto"/>
        <w:ind w:left="0" w:firstLine="0"/>
        <w:jc w:val="both"/>
        <w:rPr>
          <w:rFonts w:ascii="Arial" w:hAnsi="Arial" w:cs="Arial"/>
        </w:rPr>
      </w:pPr>
      <w:r>
        <w:rPr>
          <w:rFonts w:ascii="Arial" w:hAnsi="Arial" w:cs="Arial"/>
        </w:rPr>
        <w:t>These r</w:t>
      </w:r>
      <w:r w:rsidRPr="00652F94">
        <w:rPr>
          <w:rFonts w:ascii="Arial" w:hAnsi="Arial" w:cs="Arial"/>
        </w:rPr>
        <w:t>esellers</w:t>
      </w:r>
      <w:r>
        <w:rPr>
          <w:rFonts w:ascii="Arial" w:hAnsi="Arial" w:cs="Arial"/>
        </w:rPr>
        <w:t>,</w:t>
      </w:r>
      <w:r w:rsidRPr="00652F94">
        <w:rPr>
          <w:rFonts w:ascii="Arial" w:hAnsi="Arial" w:cs="Arial"/>
        </w:rPr>
        <w:t xml:space="preserve"> </w:t>
      </w:r>
      <w:r w:rsidR="00A367E1">
        <w:rPr>
          <w:rFonts w:ascii="Arial" w:hAnsi="Arial" w:cs="Arial"/>
        </w:rPr>
        <w:t>from a pric</w:t>
      </w:r>
      <w:r w:rsidR="00E77BBF">
        <w:rPr>
          <w:rFonts w:ascii="Arial" w:hAnsi="Arial" w:cs="Arial"/>
        </w:rPr>
        <w:t>ing</w:t>
      </w:r>
      <w:r w:rsidR="00A367E1">
        <w:rPr>
          <w:rFonts w:ascii="Arial" w:hAnsi="Arial" w:cs="Arial"/>
        </w:rPr>
        <w:t xml:space="preserve"> </w:t>
      </w:r>
      <w:r>
        <w:rPr>
          <w:rFonts w:ascii="Arial" w:hAnsi="Arial" w:cs="Arial"/>
        </w:rPr>
        <w:t xml:space="preserve">and competition </w:t>
      </w:r>
      <w:r w:rsidR="00A367E1">
        <w:rPr>
          <w:rFonts w:ascii="Arial" w:hAnsi="Arial" w:cs="Arial"/>
        </w:rPr>
        <w:t xml:space="preserve">perspective, have to </w:t>
      </w:r>
      <w:r w:rsidR="00A367E1" w:rsidRPr="00652F94">
        <w:rPr>
          <w:rFonts w:ascii="Arial" w:hAnsi="Arial" w:cs="Arial"/>
        </w:rPr>
        <w:t xml:space="preserve">add a margin onto the landed cost of imports to account for their own costs before setting their price to customers. </w:t>
      </w:r>
      <w:r w:rsidR="00A367E1" w:rsidRPr="0009334A">
        <w:rPr>
          <w:rFonts w:ascii="Arial" w:hAnsi="Arial" w:cs="Arial"/>
        </w:rPr>
        <w:t>Loukidis stated that Niser was not able to compete with the local producers for the large</w:t>
      </w:r>
      <w:r w:rsidR="00545C23">
        <w:rPr>
          <w:rFonts w:ascii="Arial" w:hAnsi="Arial" w:cs="Arial"/>
        </w:rPr>
        <w:t>r</w:t>
      </w:r>
      <w:r w:rsidR="00A367E1" w:rsidRPr="0009334A">
        <w:rPr>
          <w:rFonts w:ascii="Arial" w:hAnsi="Arial" w:cs="Arial"/>
        </w:rPr>
        <w:t xml:space="preserve"> customers, where the prices were too low for imports to be profitable.</w:t>
      </w:r>
      <w:r w:rsidR="00A367E1">
        <w:rPr>
          <w:rStyle w:val="FootnoteReference"/>
          <w:rFonts w:ascii="Arial" w:hAnsi="Arial" w:cs="Arial"/>
        </w:rPr>
        <w:footnoteReference w:id="43"/>
      </w:r>
      <w:r w:rsidR="00A367E1" w:rsidRPr="00A367E1">
        <w:rPr>
          <w:rFonts w:ascii="Arial" w:hAnsi="Arial" w:cs="Arial"/>
        </w:rPr>
        <w:t xml:space="preserve"> </w:t>
      </w:r>
      <w:r w:rsidR="00AD2F6F">
        <w:rPr>
          <w:rFonts w:ascii="Arial" w:hAnsi="Arial" w:cs="Arial"/>
        </w:rPr>
        <w:t>We note</w:t>
      </w:r>
      <w:r w:rsidR="00A367E1">
        <w:rPr>
          <w:rFonts w:ascii="Arial" w:hAnsi="Arial" w:cs="Arial"/>
        </w:rPr>
        <w:t xml:space="preserve"> that </w:t>
      </w:r>
      <w:r w:rsidR="00A367E1" w:rsidRPr="00315CA2">
        <w:rPr>
          <w:rFonts w:ascii="Arial" w:hAnsi="Arial" w:cs="Arial"/>
        </w:rPr>
        <w:t xml:space="preserve">Niser has closed </w:t>
      </w:r>
      <w:r w:rsidR="00A367E1">
        <w:rPr>
          <w:rFonts w:ascii="Arial" w:hAnsi="Arial" w:cs="Arial"/>
        </w:rPr>
        <w:t>down</w:t>
      </w:r>
      <w:r w:rsidR="00A367E1" w:rsidRPr="00315CA2">
        <w:rPr>
          <w:rFonts w:ascii="Arial" w:hAnsi="Arial" w:cs="Arial"/>
        </w:rPr>
        <w:t>.</w:t>
      </w:r>
      <w:r w:rsidR="00A367E1">
        <w:rPr>
          <w:rStyle w:val="FootnoteReference"/>
          <w:rFonts w:ascii="Arial" w:hAnsi="Arial" w:cs="Arial"/>
        </w:rPr>
        <w:footnoteReference w:id="44"/>
      </w:r>
    </w:p>
    <w:p w:rsidR="00A367E1" w:rsidRPr="00315CA2" w:rsidRDefault="00A367E1" w:rsidP="00A367E1">
      <w:pPr>
        <w:pStyle w:val="ListParagraph"/>
        <w:numPr>
          <w:ilvl w:val="0"/>
          <w:numId w:val="2"/>
        </w:numPr>
        <w:spacing w:after="240" w:line="360" w:lineRule="auto"/>
        <w:ind w:left="0" w:firstLine="0"/>
        <w:jc w:val="both"/>
        <w:rPr>
          <w:rFonts w:ascii="Arial" w:hAnsi="Arial" w:cs="Arial"/>
        </w:rPr>
      </w:pPr>
      <w:r>
        <w:rPr>
          <w:rFonts w:ascii="Arial" w:hAnsi="Arial" w:cs="Arial"/>
        </w:rPr>
        <w:t xml:space="preserve">We further note that </w:t>
      </w:r>
      <w:r w:rsidR="00623275">
        <w:rPr>
          <w:rFonts w:ascii="Arial" w:hAnsi="Arial" w:cs="Arial"/>
        </w:rPr>
        <w:t xml:space="preserve">the evidence was that </w:t>
      </w:r>
      <w:r w:rsidRPr="00315CA2">
        <w:rPr>
          <w:rFonts w:ascii="Arial" w:hAnsi="Arial" w:cs="Arial"/>
        </w:rPr>
        <w:t>ADD Resins</w:t>
      </w:r>
      <w:r w:rsidR="00827A74">
        <w:rPr>
          <w:rFonts w:ascii="Arial" w:hAnsi="Arial" w:cs="Arial"/>
        </w:rPr>
        <w:t>’</w:t>
      </w:r>
      <w:r w:rsidRPr="00315CA2">
        <w:rPr>
          <w:rFonts w:ascii="Arial" w:hAnsi="Arial" w:cs="Arial"/>
        </w:rPr>
        <w:t xml:space="preserve"> </w:t>
      </w:r>
      <w:r>
        <w:rPr>
          <w:rFonts w:ascii="Arial" w:hAnsi="Arial" w:cs="Arial"/>
        </w:rPr>
        <w:t xml:space="preserve">very low priced </w:t>
      </w:r>
      <w:r w:rsidR="00623275">
        <w:rPr>
          <w:rFonts w:ascii="Arial" w:hAnsi="Arial" w:cs="Arial"/>
        </w:rPr>
        <w:t xml:space="preserve">resin </w:t>
      </w:r>
      <w:r w:rsidRPr="00315CA2">
        <w:rPr>
          <w:rFonts w:ascii="Arial" w:hAnsi="Arial" w:cs="Arial"/>
        </w:rPr>
        <w:t xml:space="preserve">imports have been opportunistic </w:t>
      </w:r>
      <w:r>
        <w:rPr>
          <w:rFonts w:ascii="Arial" w:hAnsi="Arial" w:cs="Arial"/>
        </w:rPr>
        <w:t>in nature</w:t>
      </w:r>
      <w:r w:rsidRPr="00A506E6">
        <w:rPr>
          <w:rFonts w:ascii="Arial" w:hAnsi="Arial" w:cs="Arial"/>
        </w:rPr>
        <w:t xml:space="preserve"> </w:t>
      </w:r>
      <w:r>
        <w:rPr>
          <w:rFonts w:ascii="Arial" w:hAnsi="Arial" w:cs="Arial"/>
        </w:rPr>
        <w:t>and “</w:t>
      </w:r>
      <w:r w:rsidRPr="007144BF">
        <w:rPr>
          <w:rFonts w:ascii="Arial" w:hAnsi="Arial" w:cs="Arial"/>
          <w:i/>
        </w:rPr>
        <w:t>on a very limited scale</w:t>
      </w:r>
      <w:r>
        <w:rPr>
          <w:rFonts w:ascii="Arial" w:hAnsi="Arial" w:cs="Arial"/>
        </w:rPr>
        <w:t xml:space="preserve">” </w:t>
      </w:r>
      <w:r w:rsidRPr="00315CA2">
        <w:rPr>
          <w:rFonts w:ascii="Arial" w:hAnsi="Arial" w:cs="Arial"/>
        </w:rPr>
        <w:t xml:space="preserve">from </w:t>
      </w:r>
      <w:r>
        <w:rPr>
          <w:rFonts w:ascii="Arial" w:hAnsi="Arial" w:cs="Arial"/>
        </w:rPr>
        <w:t>a</w:t>
      </w:r>
      <w:r w:rsidRPr="00315CA2">
        <w:rPr>
          <w:rFonts w:ascii="Arial" w:hAnsi="Arial" w:cs="Arial"/>
        </w:rPr>
        <w:t xml:space="preserve"> </w:t>
      </w:r>
      <w:r>
        <w:rPr>
          <w:rFonts w:ascii="Arial" w:hAnsi="Arial" w:cs="Arial"/>
        </w:rPr>
        <w:t xml:space="preserve">specific </w:t>
      </w:r>
      <w:r w:rsidRPr="00315CA2">
        <w:rPr>
          <w:rFonts w:ascii="Arial" w:hAnsi="Arial" w:cs="Arial"/>
        </w:rPr>
        <w:t xml:space="preserve">supplier </w:t>
      </w:r>
      <w:r>
        <w:rPr>
          <w:rFonts w:ascii="Arial" w:hAnsi="Arial" w:cs="Arial"/>
        </w:rPr>
        <w:t>of “</w:t>
      </w:r>
      <w:r w:rsidRPr="00700F4D">
        <w:rPr>
          <w:rFonts w:ascii="Arial" w:hAnsi="Arial" w:cs="Arial"/>
          <w:i/>
        </w:rPr>
        <w:t>left over batches</w:t>
      </w:r>
      <w:r>
        <w:rPr>
          <w:rFonts w:ascii="Arial" w:hAnsi="Arial" w:cs="Arial"/>
        </w:rPr>
        <w:t>”</w:t>
      </w:r>
      <w:r w:rsidRPr="00315CA2">
        <w:rPr>
          <w:rFonts w:ascii="Arial" w:hAnsi="Arial" w:cs="Arial"/>
        </w:rPr>
        <w:t>.</w:t>
      </w:r>
      <w:r>
        <w:rPr>
          <w:rStyle w:val="FootnoteReference"/>
          <w:rFonts w:ascii="Arial" w:hAnsi="Arial" w:cs="Arial"/>
        </w:rPr>
        <w:footnoteReference w:id="45"/>
      </w:r>
      <w:r w:rsidRPr="00315CA2">
        <w:rPr>
          <w:rFonts w:ascii="Arial" w:hAnsi="Arial" w:cs="Arial"/>
        </w:rPr>
        <w:t xml:space="preserve"> </w:t>
      </w:r>
      <w:r>
        <w:rPr>
          <w:rFonts w:ascii="Arial" w:hAnsi="Arial" w:cs="Arial"/>
        </w:rPr>
        <w:t xml:space="preserve">It </w:t>
      </w:r>
      <w:r w:rsidRPr="00315CA2">
        <w:rPr>
          <w:rFonts w:ascii="Arial" w:hAnsi="Arial" w:cs="Arial"/>
        </w:rPr>
        <w:t>sources the majority of its resins from domestic suppliers</w:t>
      </w:r>
      <w:r w:rsidR="00623275">
        <w:rPr>
          <w:rFonts w:ascii="Arial" w:hAnsi="Arial" w:cs="Arial"/>
        </w:rPr>
        <w:t>.</w:t>
      </w:r>
      <w:r>
        <w:rPr>
          <w:rStyle w:val="FootnoteReference"/>
          <w:rFonts w:ascii="Arial" w:hAnsi="Arial" w:cs="Arial"/>
        </w:rPr>
        <w:footnoteReference w:id="46"/>
      </w:r>
      <w:r w:rsidRPr="00315CA2">
        <w:rPr>
          <w:rFonts w:ascii="Arial" w:hAnsi="Arial" w:cs="Arial"/>
        </w:rPr>
        <w:t xml:space="preserve"> </w:t>
      </w:r>
    </w:p>
    <w:p w:rsidR="00C35DE8" w:rsidRPr="00C35DE8" w:rsidRDefault="00247929" w:rsidP="00C35DE8">
      <w:pPr>
        <w:pStyle w:val="ListParagraph"/>
        <w:numPr>
          <w:ilvl w:val="0"/>
          <w:numId w:val="2"/>
        </w:numPr>
        <w:spacing w:after="240" w:line="360" w:lineRule="auto"/>
        <w:ind w:left="0" w:firstLine="0"/>
        <w:jc w:val="both"/>
        <w:rPr>
          <w:rFonts w:ascii="Arial" w:hAnsi="Arial" w:cs="Arial"/>
        </w:rPr>
      </w:pPr>
      <w:r w:rsidRPr="00C35DE8">
        <w:rPr>
          <w:rFonts w:ascii="Arial" w:hAnsi="Arial" w:cs="Arial"/>
        </w:rPr>
        <w:t xml:space="preserve">It is </w:t>
      </w:r>
      <w:r w:rsidR="0069338C">
        <w:rPr>
          <w:rFonts w:ascii="Arial" w:hAnsi="Arial" w:cs="Arial"/>
        </w:rPr>
        <w:t xml:space="preserve">also </w:t>
      </w:r>
      <w:r w:rsidRPr="00C35DE8">
        <w:rPr>
          <w:rFonts w:ascii="Arial" w:hAnsi="Arial" w:cs="Arial"/>
        </w:rPr>
        <w:t xml:space="preserve">important to note that </w:t>
      </w:r>
      <w:r w:rsidR="00226BBF" w:rsidRPr="00C35DE8">
        <w:rPr>
          <w:rFonts w:ascii="Arial" w:hAnsi="Arial" w:cs="Arial"/>
        </w:rPr>
        <w:t xml:space="preserve">a substantial portion of the domestic UPR market consists of products that are customized to the needs of specific customers or customer groups. </w:t>
      </w:r>
      <w:r w:rsidR="00545C23">
        <w:rPr>
          <w:rFonts w:ascii="Arial" w:hAnsi="Arial" w:cs="Arial"/>
        </w:rPr>
        <w:t>F</w:t>
      </w:r>
      <w:r w:rsidR="00545C23" w:rsidRPr="00C35DE8">
        <w:rPr>
          <w:rFonts w:ascii="Arial" w:hAnsi="Arial" w:cs="Arial"/>
        </w:rPr>
        <w:t>rom a customer’s perspective</w:t>
      </w:r>
      <w:r w:rsidR="00545C23">
        <w:rPr>
          <w:rFonts w:ascii="Arial" w:hAnsi="Arial" w:cs="Arial"/>
        </w:rPr>
        <w:t>, t</w:t>
      </w:r>
      <w:r w:rsidR="00523237" w:rsidRPr="00C35DE8">
        <w:rPr>
          <w:rFonts w:ascii="Arial" w:hAnsi="Arial" w:cs="Arial"/>
        </w:rPr>
        <w:t>he witnesses</w:t>
      </w:r>
      <w:r w:rsidR="00B64D96">
        <w:rPr>
          <w:rFonts w:ascii="Arial" w:hAnsi="Arial" w:cs="Arial"/>
        </w:rPr>
        <w:t xml:space="preserve"> </w:t>
      </w:r>
      <w:r w:rsidR="005600E0" w:rsidRPr="00C35DE8">
        <w:rPr>
          <w:rFonts w:ascii="Arial" w:hAnsi="Arial" w:cs="Arial"/>
        </w:rPr>
        <w:t xml:space="preserve">expressly </w:t>
      </w:r>
      <w:r w:rsidR="00523237" w:rsidRPr="00C35DE8">
        <w:rPr>
          <w:rFonts w:ascii="Arial" w:hAnsi="Arial" w:cs="Arial"/>
        </w:rPr>
        <w:t>identified the lack of loca</w:t>
      </w:r>
      <w:r w:rsidR="009A4FFD" w:rsidRPr="00C35DE8">
        <w:rPr>
          <w:rFonts w:ascii="Arial" w:hAnsi="Arial" w:cs="Arial"/>
        </w:rPr>
        <w:t xml:space="preserve">l technical support and service </w:t>
      </w:r>
      <w:r w:rsidR="00523237" w:rsidRPr="00C35DE8">
        <w:rPr>
          <w:rFonts w:ascii="Arial" w:hAnsi="Arial" w:cs="Arial"/>
        </w:rPr>
        <w:t>as a barrier to importing</w:t>
      </w:r>
      <w:r w:rsidR="005600E0">
        <w:rPr>
          <w:rFonts w:ascii="Arial" w:hAnsi="Arial" w:cs="Arial"/>
        </w:rPr>
        <w:t>,</w:t>
      </w:r>
      <w:r w:rsidR="009A4FFD" w:rsidRPr="00C35DE8">
        <w:rPr>
          <w:rFonts w:ascii="Arial" w:hAnsi="Arial" w:cs="Arial"/>
        </w:rPr>
        <w:t xml:space="preserve"> as well as the risk that the quality or specification of the product may not be </w:t>
      </w:r>
      <w:r w:rsidR="00B64D96">
        <w:rPr>
          <w:rFonts w:ascii="Arial" w:hAnsi="Arial" w:cs="Arial"/>
        </w:rPr>
        <w:t xml:space="preserve">correct or </w:t>
      </w:r>
      <w:r w:rsidR="00564EC3">
        <w:rPr>
          <w:rFonts w:ascii="Arial" w:hAnsi="Arial" w:cs="Arial"/>
        </w:rPr>
        <w:t xml:space="preserve">may not be </w:t>
      </w:r>
      <w:r w:rsidR="00B64D96">
        <w:rPr>
          <w:rFonts w:ascii="Arial" w:hAnsi="Arial" w:cs="Arial"/>
        </w:rPr>
        <w:t>sustained over time</w:t>
      </w:r>
      <w:r w:rsidR="00523237" w:rsidRPr="00C35DE8">
        <w:rPr>
          <w:rFonts w:ascii="Arial" w:hAnsi="Arial" w:cs="Arial"/>
        </w:rPr>
        <w:t>.</w:t>
      </w:r>
      <w:r w:rsidR="00523237">
        <w:rPr>
          <w:rStyle w:val="FootnoteReference"/>
          <w:rFonts w:ascii="Arial" w:hAnsi="Arial" w:cs="Arial"/>
        </w:rPr>
        <w:footnoteReference w:id="47"/>
      </w:r>
      <w:r w:rsidR="00523237" w:rsidRPr="00C35DE8">
        <w:rPr>
          <w:rFonts w:ascii="Arial" w:hAnsi="Arial" w:cs="Arial"/>
        </w:rPr>
        <w:t xml:space="preserve"> This is a factor in competition and having a local supplier allows for such support to be more easily accessible.</w:t>
      </w:r>
      <w:r w:rsidR="004213F0">
        <w:rPr>
          <w:rStyle w:val="FootnoteReference"/>
          <w:rFonts w:ascii="Arial" w:hAnsi="Arial" w:cs="Arial"/>
        </w:rPr>
        <w:footnoteReference w:id="48"/>
      </w:r>
      <w:r w:rsidR="00523237" w:rsidRPr="00C35DE8">
        <w:rPr>
          <w:rFonts w:ascii="Arial" w:hAnsi="Arial" w:cs="Arial"/>
        </w:rPr>
        <w:t xml:space="preserve"> NCS itself point</w:t>
      </w:r>
      <w:r w:rsidR="00B64D96">
        <w:rPr>
          <w:rFonts w:ascii="Arial" w:hAnsi="Arial" w:cs="Arial"/>
        </w:rPr>
        <w:t>ed</w:t>
      </w:r>
      <w:r w:rsidR="00523237" w:rsidRPr="00C35DE8">
        <w:rPr>
          <w:rFonts w:ascii="Arial" w:hAnsi="Arial" w:cs="Arial"/>
        </w:rPr>
        <w:t xml:space="preserve"> to after-sales service provided by South Africa</w:t>
      </w:r>
      <w:r w:rsidR="00827A74">
        <w:rPr>
          <w:rFonts w:ascii="Arial" w:hAnsi="Arial" w:cs="Arial"/>
        </w:rPr>
        <w:t>n</w:t>
      </w:r>
      <w:r w:rsidR="00523237" w:rsidRPr="00C35DE8">
        <w:rPr>
          <w:rFonts w:ascii="Arial" w:hAnsi="Arial" w:cs="Arial"/>
        </w:rPr>
        <w:t xml:space="preserve"> producers as an advantage over imports</w:t>
      </w:r>
      <w:r w:rsidR="00F97598">
        <w:rPr>
          <w:rFonts w:ascii="Arial" w:hAnsi="Arial" w:cs="Arial"/>
        </w:rPr>
        <w:t xml:space="preserve"> and </w:t>
      </w:r>
      <w:r w:rsidR="00AE5D85">
        <w:rPr>
          <w:rFonts w:ascii="Arial" w:hAnsi="Arial" w:cs="Arial"/>
        </w:rPr>
        <w:t xml:space="preserve">further indicated that </w:t>
      </w:r>
      <w:r w:rsidR="00F97598">
        <w:rPr>
          <w:rFonts w:ascii="Arial" w:hAnsi="Arial" w:cs="Arial"/>
        </w:rPr>
        <w:t xml:space="preserve">local producers </w:t>
      </w:r>
      <w:r w:rsidR="00AE5D85">
        <w:rPr>
          <w:rFonts w:ascii="Arial" w:hAnsi="Arial" w:cs="Arial"/>
        </w:rPr>
        <w:t xml:space="preserve">may </w:t>
      </w:r>
      <w:r w:rsidR="00F97598">
        <w:rPr>
          <w:rFonts w:ascii="Arial" w:hAnsi="Arial" w:cs="Arial"/>
        </w:rPr>
        <w:t>have a wider product range in certain cases.</w:t>
      </w:r>
      <w:r w:rsidR="00523237">
        <w:rPr>
          <w:rStyle w:val="FootnoteReference"/>
          <w:rFonts w:ascii="Arial" w:hAnsi="Arial" w:cs="Arial"/>
        </w:rPr>
        <w:footnoteReference w:id="49"/>
      </w:r>
      <w:r w:rsidR="00523237" w:rsidRPr="00C35DE8">
        <w:rPr>
          <w:rFonts w:ascii="Arial" w:hAnsi="Arial" w:cs="Arial"/>
        </w:rPr>
        <w:t xml:space="preserve"> </w:t>
      </w:r>
      <w:r w:rsidR="005600E0">
        <w:rPr>
          <w:rFonts w:ascii="Arial" w:hAnsi="Arial" w:cs="Arial"/>
        </w:rPr>
        <w:t xml:space="preserve">For example, </w:t>
      </w:r>
      <w:r w:rsidR="00C35DE8" w:rsidRPr="00C35DE8">
        <w:rPr>
          <w:rFonts w:ascii="Arial" w:hAnsi="Arial" w:cs="Arial"/>
        </w:rPr>
        <w:t>Neethling, a NCS customer</w:t>
      </w:r>
      <w:r w:rsidR="00B64D96">
        <w:rPr>
          <w:rFonts w:ascii="Arial" w:hAnsi="Arial" w:cs="Arial"/>
        </w:rPr>
        <w:t>,</w:t>
      </w:r>
      <w:r w:rsidR="00C35DE8" w:rsidRPr="00C35DE8">
        <w:rPr>
          <w:rFonts w:ascii="Arial" w:hAnsi="Arial" w:cs="Arial"/>
        </w:rPr>
        <w:t xml:space="preserve"> stated that NCS provides very good after-sales customer service in respect of its </w:t>
      </w:r>
      <w:r w:rsidR="00282911">
        <w:rPr>
          <w:rFonts w:ascii="Arial" w:hAnsi="Arial" w:cs="Arial"/>
          <w:noProof/>
          <w:lang w:val="en-ZA" w:eastAsia="en-ZA"/>
        </w:rPr>
        <w:pict>
          <v:shape id="Text Box 43" o:spid="_x0000_s1028" type="#_x0000_t202" style="position:absolute;left:0;text-align:left;margin-left:422.4pt;margin-top:11.25pt;width:84.5pt;height:7.7pt;z-index:-251598848;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" o:allowincell="f" stroked="f">
            <v:fill opacity="0"/>
            <v:textbox inset="0,0,0,0">
              <w:txbxContent>
                <w:p w:rsidR="00F02DA6" w:rsidRDefault="00F02DA6" w:rsidP="00C35DE8">
                  <w:pPr>
                    <w:spacing w:line="154" w:lineRule="atLeast"/>
                    <w:jc w:val="center"/>
                  </w:pPr>
                  <w:r>
                    <w:rPr>
                      <w:noProof/>
                      <w:lang w:val="en-ZA" w:eastAsia="en-ZA"/>
                    </w:rPr>
                    <w:drawing>
                      <wp:inline distT="0" distB="0" distL="0" distR="0">
                        <wp:extent cx="1071245" cy="9588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1071245" cy="95885"/>
                                </a:xfrm>
                                <a:prstGeom prst="rect">
                                  <a:avLst/>
                                </a:prstGeom>
                                <a:noFill/>
                                <a:ln w="9525">
                                  <a:noFill/>
                                  <a:miter lim="800000"/>
                                  <a:headEnd/>
                                  <a:tailEnd/>
                                </a:ln>
                              </pic:spPr>
                            </pic:pic>
                          </a:graphicData>
                        </a:graphic>
                      </wp:inline>
                    </w:drawing>
                  </w:r>
                </w:p>
              </w:txbxContent>
            </v:textbox>
          </v:shape>
        </w:pict>
      </w:r>
      <w:r w:rsidR="00C35DE8" w:rsidRPr="00C35DE8">
        <w:rPr>
          <w:rFonts w:ascii="Arial" w:hAnsi="Arial" w:cs="Arial"/>
        </w:rPr>
        <w:t>resin, and has also assisted V&amp;A in learning about the product and supplying it with advice and information.</w:t>
      </w:r>
      <w:r w:rsidR="00C35DE8">
        <w:rPr>
          <w:rStyle w:val="FootnoteReference"/>
          <w:rFonts w:ascii="Arial" w:hAnsi="Arial" w:cs="Arial"/>
        </w:rPr>
        <w:footnoteReference w:id="50"/>
      </w:r>
      <w:r w:rsidR="00A367E1" w:rsidRPr="00A367E1">
        <w:rPr>
          <w:rFonts w:ascii="Arial" w:hAnsi="Arial" w:cs="Arial"/>
        </w:rPr>
        <w:t xml:space="preserve"> </w:t>
      </w:r>
    </w:p>
    <w:p w:rsidR="00F64EEA" w:rsidRPr="00315CA2" w:rsidRDefault="00F64EEA" w:rsidP="00F64EEA">
      <w:pPr>
        <w:pStyle w:val="ListParagraph"/>
        <w:numPr>
          <w:ilvl w:val="0"/>
          <w:numId w:val="2"/>
        </w:numPr>
        <w:spacing w:after="240" w:line="360" w:lineRule="auto"/>
        <w:ind w:left="0" w:firstLine="0"/>
        <w:jc w:val="both"/>
        <w:rPr>
          <w:rFonts w:ascii="Arial" w:hAnsi="Arial" w:cs="Arial"/>
        </w:rPr>
      </w:pPr>
      <w:r>
        <w:rPr>
          <w:rFonts w:ascii="Arial" w:hAnsi="Arial" w:cs="Arial"/>
        </w:rPr>
        <w:lastRenderedPageBreak/>
        <w:t>Furthermore, the evidence was that t</w:t>
      </w:r>
      <w:r w:rsidRPr="00315CA2">
        <w:rPr>
          <w:rFonts w:ascii="Arial" w:hAnsi="Arial" w:cs="Arial"/>
        </w:rPr>
        <w:t xml:space="preserve">here is more risk in importing specialized resins </w:t>
      </w:r>
      <w:r w:rsidR="00125FAD">
        <w:rPr>
          <w:rFonts w:ascii="Arial" w:hAnsi="Arial" w:cs="Arial"/>
        </w:rPr>
        <w:t xml:space="preserve">since </w:t>
      </w:r>
      <w:r w:rsidRPr="00315CA2">
        <w:rPr>
          <w:rFonts w:ascii="Arial" w:hAnsi="Arial" w:cs="Arial"/>
        </w:rPr>
        <w:t xml:space="preserve">the number of customers </w:t>
      </w:r>
      <w:r w:rsidR="00125FAD">
        <w:rPr>
          <w:rFonts w:ascii="Arial" w:hAnsi="Arial" w:cs="Arial"/>
        </w:rPr>
        <w:t xml:space="preserve">for these products </w:t>
      </w:r>
      <w:r w:rsidRPr="00315CA2">
        <w:rPr>
          <w:rFonts w:ascii="Arial" w:hAnsi="Arial" w:cs="Arial"/>
        </w:rPr>
        <w:t xml:space="preserve">is smaller and the reseller </w:t>
      </w:r>
      <w:r w:rsidR="00C837A4">
        <w:rPr>
          <w:rFonts w:ascii="Arial" w:hAnsi="Arial" w:cs="Arial"/>
        </w:rPr>
        <w:t>must</w:t>
      </w:r>
      <w:r>
        <w:rPr>
          <w:rFonts w:ascii="Arial" w:hAnsi="Arial" w:cs="Arial"/>
        </w:rPr>
        <w:t xml:space="preserve"> </w:t>
      </w:r>
      <w:r w:rsidR="00564EC3">
        <w:rPr>
          <w:rFonts w:ascii="Arial" w:hAnsi="Arial" w:cs="Arial"/>
        </w:rPr>
        <w:t xml:space="preserve">therefore </w:t>
      </w:r>
      <w:r w:rsidRPr="00315CA2">
        <w:rPr>
          <w:rFonts w:ascii="Arial" w:hAnsi="Arial" w:cs="Arial"/>
        </w:rPr>
        <w:t xml:space="preserve">ensure </w:t>
      </w:r>
      <w:r>
        <w:rPr>
          <w:rFonts w:ascii="Arial" w:hAnsi="Arial" w:cs="Arial"/>
        </w:rPr>
        <w:t xml:space="preserve">that </w:t>
      </w:r>
      <w:r w:rsidRPr="00315CA2">
        <w:rPr>
          <w:rFonts w:ascii="Arial" w:hAnsi="Arial" w:cs="Arial"/>
        </w:rPr>
        <w:t>it has likely buyers for the resin before its shelf life expires</w:t>
      </w:r>
      <w:r w:rsidR="00125FAD">
        <w:rPr>
          <w:rFonts w:ascii="Arial" w:hAnsi="Arial" w:cs="Arial"/>
        </w:rPr>
        <w:t xml:space="preserve"> (we explain the shelf life of resin below, see paragraph </w:t>
      </w:r>
      <w:r w:rsidR="00117481" w:rsidRPr="008279F7">
        <w:rPr>
          <w:rFonts w:ascii="Arial" w:hAnsi="Arial" w:cs="Arial"/>
        </w:rPr>
        <w:t>5</w:t>
      </w:r>
      <w:r w:rsidR="003A2F45" w:rsidRPr="008279F7">
        <w:rPr>
          <w:rFonts w:ascii="Arial" w:hAnsi="Arial" w:cs="Arial"/>
        </w:rPr>
        <w:t>2</w:t>
      </w:r>
      <w:r w:rsidR="00C837A4" w:rsidRPr="008279F7">
        <w:rPr>
          <w:rFonts w:ascii="Arial" w:hAnsi="Arial" w:cs="Arial"/>
        </w:rPr>
        <w:t>.3</w:t>
      </w:r>
      <w:r w:rsidR="00125FAD" w:rsidRPr="008279F7">
        <w:rPr>
          <w:rFonts w:ascii="Arial" w:hAnsi="Arial" w:cs="Arial"/>
        </w:rPr>
        <w:t>)</w:t>
      </w:r>
      <w:r w:rsidRPr="008279F7">
        <w:rPr>
          <w:rFonts w:ascii="Arial" w:hAnsi="Arial" w:cs="Arial"/>
        </w:rPr>
        <w:t>.</w:t>
      </w:r>
      <w:r w:rsidR="0010541C">
        <w:rPr>
          <w:rFonts w:ascii="Arial" w:hAnsi="Arial" w:cs="Arial"/>
        </w:rPr>
        <w:t xml:space="preserve"> Imports of these resin types are</w:t>
      </w:r>
      <w:r w:rsidR="00A367E1">
        <w:rPr>
          <w:rFonts w:ascii="Arial" w:hAnsi="Arial" w:cs="Arial"/>
        </w:rPr>
        <w:t xml:space="preserve"> therefore </w:t>
      </w:r>
      <w:r w:rsidR="0010541C">
        <w:rPr>
          <w:rFonts w:ascii="Arial" w:hAnsi="Arial" w:cs="Arial"/>
        </w:rPr>
        <w:t>less viable.</w:t>
      </w:r>
      <w:r>
        <w:rPr>
          <w:rStyle w:val="FootnoteReference"/>
          <w:rFonts w:ascii="Arial" w:hAnsi="Arial" w:cs="Arial"/>
        </w:rPr>
        <w:footnoteReference w:id="51"/>
      </w:r>
      <w:r w:rsidRPr="00315CA2">
        <w:rPr>
          <w:rFonts w:ascii="Arial" w:hAnsi="Arial" w:cs="Arial"/>
        </w:rPr>
        <w:t xml:space="preserve"> </w:t>
      </w:r>
    </w:p>
    <w:p w:rsidR="00617DFC" w:rsidRPr="00254398" w:rsidRDefault="00240FBD" w:rsidP="0080582B">
      <w:pPr>
        <w:pStyle w:val="ListParagraph"/>
        <w:numPr>
          <w:ilvl w:val="0"/>
          <w:numId w:val="2"/>
        </w:numPr>
        <w:spacing w:after="240" w:line="360" w:lineRule="auto"/>
        <w:ind w:left="0" w:firstLine="0"/>
        <w:jc w:val="both"/>
        <w:rPr>
          <w:rFonts w:ascii="Arial" w:hAnsi="Arial" w:cs="Arial"/>
        </w:rPr>
      </w:pPr>
      <w:r>
        <w:rPr>
          <w:rFonts w:ascii="Arial" w:hAnsi="Arial" w:cs="Arial"/>
        </w:rPr>
        <w:t>The Commission submitted that a</w:t>
      </w:r>
      <w:r w:rsidR="00C665DA" w:rsidRPr="00254398">
        <w:rPr>
          <w:rFonts w:ascii="Arial" w:hAnsi="Arial" w:cs="Arial"/>
        </w:rPr>
        <w:t xml:space="preserve">s far as direct imports by customers are concerned, </w:t>
      </w:r>
      <w:r w:rsidR="006E5F8C" w:rsidRPr="00254398">
        <w:rPr>
          <w:rFonts w:ascii="Arial" w:hAnsi="Arial" w:cs="Arial"/>
        </w:rPr>
        <w:t xml:space="preserve">two large </w:t>
      </w:r>
      <w:r w:rsidR="00214016" w:rsidRPr="00254398">
        <w:rPr>
          <w:rFonts w:ascii="Arial" w:hAnsi="Arial" w:cs="Arial"/>
        </w:rPr>
        <w:t xml:space="preserve">UPR </w:t>
      </w:r>
      <w:r w:rsidR="006E5F8C" w:rsidRPr="00254398">
        <w:rPr>
          <w:rFonts w:ascii="Arial" w:hAnsi="Arial" w:cs="Arial"/>
        </w:rPr>
        <w:t>customers, V&amp;A</w:t>
      </w:r>
      <w:r w:rsidR="006E5F8C">
        <w:rPr>
          <w:rStyle w:val="FootnoteReference"/>
          <w:rFonts w:ascii="Arial" w:hAnsi="Arial" w:cs="Arial"/>
        </w:rPr>
        <w:footnoteReference w:id="52"/>
      </w:r>
      <w:r w:rsidR="006E5F8C" w:rsidRPr="00254398">
        <w:rPr>
          <w:rFonts w:ascii="Arial" w:hAnsi="Arial" w:cs="Arial"/>
        </w:rPr>
        <w:t xml:space="preserve"> and Paintchem</w:t>
      </w:r>
      <w:r w:rsidR="006E5F8C">
        <w:rPr>
          <w:rStyle w:val="FootnoteReference"/>
          <w:rFonts w:ascii="Arial" w:hAnsi="Arial" w:cs="Arial"/>
        </w:rPr>
        <w:footnoteReference w:id="53"/>
      </w:r>
      <w:r w:rsidR="006E5F8C" w:rsidRPr="00254398">
        <w:rPr>
          <w:rFonts w:ascii="Arial" w:hAnsi="Arial" w:cs="Arial"/>
        </w:rPr>
        <w:t xml:space="preserve"> (</w:t>
      </w:r>
      <w:r w:rsidR="00523237" w:rsidRPr="00254398">
        <w:rPr>
          <w:rFonts w:ascii="Arial" w:hAnsi="Arial" w:cs="Arial"/>
        </w:rPr>
        <w:t xml:space="preserve">a merging parties’ </w:t>
      </w:r>
      <w:r w:rsidR="005C4CDD" w:rsidRPr="00254398">
        <w:rPr>
          <w:rFonts w:ascii="Arial" w:hAnsi="Arial" w:cs="Arial"/>
        </w:rPr>
        <w:t>witness who</w:t>
      </w:r>
      <w:r w:rsidR="006E5F8C" w:rsidRPr="00254398">
        <w:rPr>
          <w:rFonts w:ascii="Arial" w:hAnsi="Arial" w:cs="Arial"/>
        </w:rPr>
        <w:t xml:space="preserve"> was </w:t>
      </w:r>
      <w:r w:rsidR="00A367E1" w:rsidRPr="00254398">
        <w:rPr>
          <w:rFonts w:ascii="Arial" w:hAnsi="Arial" w:cs="Arial"/>
        </w:rPr>
        <w:t xml:space="preserve">ultimately </w:t>
      </w:r>
      <w:r w:rsidR="006E5F8C" w:rsidRPr="00254398">
        <w:rPr>
          <w:rFonts w:ascii="Arial" w:hAnsi="Arial" w:cs="Arial"/>
        </w:rPr>
        <w:t>not called</w:t>
      </w:r>
      <w:r w:rsidR="00A367E1" w:rsidRPr="00254398">
        <w:rPr>
          <w:rFonts w:ascii="Arial" w:hAnsi="Arial" w:cs="Arial"/>
        </w:rPr>
        <w:t xml:space="preserve"> to testify</w:t>
      </w:r>
      <w:r w:rsidR="006E5F8C" w:rsidRPr="00254398">
        <w:rPr>
          <w:rFonts w:ascii="Arial" w:hAnsi="Arial" w:cs="Arial"/>
        </w:rPr>
        <w:t xml:space="preserve">) represent a significant proportion of the total imports of UPRs into South Africa. </w:t>
      </w:r>
      <w:r w:rsidR="00254398" w:rsidRPr="00254398">
        <w:rPr>
          <w:rFonts w:ascii="Arial" w:hAnsi="Arial" w:cs="Arial"/>
        </w:rPr>
        <w:t xml:space="preserve">Since the merging parties ultimately elected not to call the witness from Paintchem we do not </w:t>
      </w:r>
      <w:r w:rsidR="00664535" w:rsidRPr="00254398">
        <w:rPr>
          <w:rFonts w:ascii="Arial" w:hAnsi="Arial" w:cs="Arial"/>
        </w:rPr>
        <w:t xml:space="preserve">deal </w:t>
      </w:r>
      <w:r w:rsidR="00254398" w:rsidRPr="00254398">
        <w:rPr>
          <w:rFonts w:ascii="Arial" w:hAnsi="Arial" w:cs="Arial"/>
        </w:rPr>
        <w:t xml:space="preserve">further with Paintchem. As far as V&amp;A is concerned, it </w:t>
      </w:r>
      <w:r w:rsidR="00254398">
        <w:rPr>
          <w:rFonts w:ascii="Arial" w:hAnsi="Arial" w:cs="Arial"/>
        </w:rPr>
        <w:t>i</w:t>
      </w:r>
      <w:r w:rsidR="00617DFC" w:rsidRPr="00254398">
        <w:rPr>
          <w:rFonts w:ascii="Arial" w:hAnsi="Arial" w:cs="Arial"/>
        </w:rPr>
        <w:t xml:space="preserve">s a world-leading manufacturer of quality free standing baths which it </w:t>
      </w:r>
      <w:r w:rsidR="002E2765" w:rsidRPr="00254398">
        <w:rPr>
          <w:rFonts w:ascii="Arial" w:hAnsi="Arial" w:cs="Arial"/>
        </w:rPr>
        <w:t>sells</w:t>
      </w:r>
      <w:r w:rsidR="00617DFC" w:rsidRPr="00254398">
        <w:rPr>
          <w:rFonts w:ascii="Arial" w:hAnsi="Arial" w:cs="Arial"/>
        </w:rPr>
        <w:t xml:space="preserve"> in 35 countries worldwide.</w:t>
      </w:r>
      <w:r w:rsidR="00617DFC">
        <w:rPr>
          <w:rStyle w:val="FootnoteReference"/>
          <w:rFonts w:ascii="Arial" w:hAnsi="Arial" w:cs="Arial"/>
        </w:rPr>
        <w:footnoteReference w:id="54"/>
      </w:r>
      <w:r w:rsidR="00617DFC" w:rsidRPr="00254398">
        <w:rPr>
          <w:rFonts w:ascii="Arial" w:hAnsi="Arial" w:cs="Arial"/>
        </w:rPr>
        <w:t xml:space="preserve"> </w:t>
      </w:r>
      <w:r w:rsidR="00214016" w:rsidRPr="00254398">
        <w:rPr>
          <w:rFonts w:ascii="Arial" w:hAnsi="Arial" w:cs="Arial"/>
        </w:rPr>
        <w:t>It</w:t>
      </w:r>
      <w:r w:rsidR="00617DFC" w:rsidRPr="00254398">
        <w:rPr>
          <w:rFonts w:ascii="Arial" w:hAnsi="Arial" w:cs="Arial"/>
        </w:rPr>
        <w:t xml:space="preserve"> purchases its resin requirements from NCS </w:t>
      </w:r>
      <w:r w:rsidR="00214016" w:rsidRPr="00254398">
        <w:rPr>
          <w:rFonts w:ascii="Arial" w:hAnsi="Arial" w:cs="Arial"/>
        </w:rPr>
        <w:t xml:space="preserve">(locally) </w:t>
      </w:r>
      <w:r w:rsidR="00617DFC" w:rsidRPr="00254398">
        <w:rPr>
          <w:rFonts w:ascii="Arial" w:hAnsi="Arial" w:cs="Arial"/>
        </w:rPr>
        <w:t xml:space="preserve">and </w:t>
      </w:r>
      <w:r w:rsidR="00214016" w:rsidRPr="00254398">
        <w:rPr>
          <w:rFonts w:ascii="Arial" w:hAnsi="Arial" w:cs="Arial"/>
        </w:rPr>
        <w:t xml:space="preserve">imports from </w:t>
      </w:r>
      <w:r w:rsidR="00C837A4">
        <w:rPr>
          <w:rFonts w:ascii="Arial" w:hAnsi="Arial" w:cs="Arial"/>
        </w:rPr>
        <w:t>[...]</w:t>
      </w:r>
      <w:r w:rsidR="00617DFC" w:rsidRPr="00254398">
        <w:rPr>
          <w:rFonts w:ascii="Arial" w:hAnsi="Arial" w:cs="Arial"/>
        </w:rPr>
        <w:t xml:space="preserve">, a manufacturer of resin based in </w:t>
      </w:r>
      <w:r w:rsidR="00C837A4">
        <w:rPr>
          <w:rFonts w:ascii="Arial" w:hAnsi="Arial" w:cs="Arial"/>
        </w:rPr>
        <w:t>[...]</w:t>
      </w:r>
      <w:r w:rsidR="00617DFC" w:rsidRPr="00254398">
        <w:rPr>
          <w:rFonts w:ascii="Arial" w:hAnsi="Arial" w:cs="Arial"/>
        </w:rPr>
        <w:t>.</w:t>
      </w:r>
      <w:r w:rsidR="00C837A4">
        <w:rPr>
          <w:rStyle w:val="FootnoteReference"/>
          <w:rFonts w:ascii="Arial" w:hAnsi="Arial" w:cs="Arial"/>
        </w:rPr>
        <w:footnoteReference w:id="55"/>
      </w:r>
      <w:r w:rsidR="00617DFC" w:rsidRPr="00254398">
        <w:rPr>
          <w:rFonts w:ascii="Arial" w:hAnsi="Arial" w:cs="Arial"/>
        </w:rPr>
        <w:t xml:space="preserve"> The imported resin is of a specialised nature and very high quality. The </w:t>
      </w:r>
      <w:r w:rsidR="00214016" w:rsidRPr="00254398">
        <w:rPr>
          <w:rFonts w:ascii="Arial" w:hAnsi="Arial" w:cs="Arial"/>
        </w:rPr>
        <w:t xml:space="preserve">UPR </w:t>
      </w:r>
      <w:r w:rsidR="00617DFC" w:rsidRPr="00254398">
        <w:rPr>
          <w:rFonts w:ascii="Arial" w:hAnsi="Arial" w:cs="Arial"/>
        </w:rPr>
        <w:t>is imported in a 20 foot container, each of which contains 80 220kg drums of UPR. For V&amp;A it is easy to import</w:t>
      </w:r>
      <w:r w:rsidR="00617DFC">
        <w:rPr>
          <w:rStyle w:val="FootnoteReference"/>
          <w:rFonts w:ascii="Arial" w:hAnsi="Arial" w:cs="Arial"/>
        </w:rPr>
        <w:footnoteReference w:id="56"/>
      </w:r>
      <w:r w:rsidR="00617DFC" w:rsidRPr="00254398">
        <w:rPr>
          <w:rFonts w:ascii="Arial" w:hAnsi="Arial" w:cs="Arial"/>
        </w:rPr>
        <w:t xml:space="preserve"> and it has been able to secure credit facilities with its global supplier. </w:t>
      </w:r>
    </w:p>
    <w:p w:rsidR="00254398" w:rsidRDefault="006E5F8C" w:rsidP="0080582B">
      <w:pPr>
        <w:pStyle w:val="ListParagraph"/>
        <w:numPr>
          <w:ilvl w:val="0"/>
          <w:numId w:val="2"/>
        </w:numPr>
        <w:spacing w:after="240" w:line="360" w:lineRule="auto"/>
        <w:ind w:left="0" w:firstLine="0"/>
        <w:jc w:val="both"/>
        <w:rPr>
          <w:rFonts w:ascii="Arial" w:hAnsi="Arial" w:cs="Arial"/>
        </w:rPr>
      </w:pPr>
      <w:r w:rsidRPr="00C665DA">
        <w:rPr>
          <w:rFonts w:ascii="Arial" w:hAnsi="Arial" w:cs="Arial"/>
        </w:rPr>
        <w:t xml:space="preserve">The </w:t>
      </w:r>
      <w:r w:rsidR="00617DFC" w:rsidRPr="00C665DA">
        <w:rPr>
          <w:rFonts w:ascii="Arial" w:hAnsi="Arial" w:cs="Arial"/>
        </w:rPr>
        <w:t xml:space="preserve">Commission </w:t>
      </w:r>
      <w:r w:rsidR="00A367E1">
        <w:rPr>
          <w:rFonts w:ascii="Arial" w:hAnsi="Arial" w:cs="Arial"/>
        </w:rPr>
        <w:t xml:space="preserve">however </w:t>
      </w:r>
      <w:r w:rsidR="00617DFC" w:rsidRPr="00C665DA">
        <w:rPr>
          <w:rFonts w:ascii="Arial" w:hAnsi="Arial" w:cs="Arial"/>
        </w:rPr>
        <w:t xml:space="preserve">argued that the </w:t>
      </w:r>
      <w:r w:rsidRPr="00C665DA">
        <w:rPr>
          <w:rFonts w:ascii="Arial" w:hAnsi="Arial" w:cs="Arial"/>
        </w:rPr>
        <w:t xml:space="preserve">situation of both </w:t>
      </w:r>
      <w:r w:rsidR="00523237" w:rsidRPr="00C665DA">
        <w:rPr>
          <w:rFonts w:ascii="Arial" w:hAnsi="Arial" w:cs="Arial"/>
        </w:rPr>
        <w:t>the</w:t>
      </w:r>
      <w:r w:rsidR="00125FAD">
        <w:rPr>
          <w:rFonts w:ascii="Arial" w:hAnsi="Arial" w:cs="Arial"/>
        </w:rPr>
        <w:t xml:space="preserve"> above-mentioned </w:t>
      </w:r>
      <w:r w:rsidRPr="00C665DA">
        <w:rPr>
          <w:rFonts w:ascii="Arial" w:hAnsi="Arial" w:cs="Arial"/>
        </w:rPr>
        <w:t>customers</w:t>
      </w:r>
      <w:r w:rsidR="00664535">
        <w:rPr>
          <w:rFonts w:ascii="Arial" w:hAnsi="Arial" w:cs="Arial"/>
        </w:rPr>
        <w:t>, V&amp;A and Paintchem,</w:t>
      </w:r>
      <w:r w:rsidRPr="00C665DA">
        <w:rPr>
          <w:rFonts w:ascii="Arial" w:hAnsi="Arial" w:cs="Arial"/>
        </w:rPr>
        <w:t xml:space="preserve"> is fairly unique which has enabled them to overcome the obstacles to </w:t>
      </w:r>
      <w:r w:rsidR="00523237" w:rsidRPr="00C665DA">
        <w:rPr>
          <w:rFonts w:ascii="Arial" w:hAnsi="Arial" w:cs="Arial"/>
        </w:rPr>
        <w:t xml:space="preserve">direct </w:t>
      </w:r>
      <w:r w:rsidRPr="00C665DA">
        <w:rPr>
          <w:rFonts w:ascii="Arial" w:hAnsi="Arial" w:cs="Arial"/>
        </w:rPr>
        <w:t>import</w:t>
      </w:r>
      <w:r w:rsidR="00523237" w:rsidRPr="00C665DA">
        <w:rPr>
          <w:rFonts w:ascii="Arial" w:hAnsi="Arial" w:cs="Arial"/>
        </w:rPr>
        <w:t>s</w:t>
      </w:r>
      <w:r w:rsidRPr="00C665DA">
        <w:rPr>
          <w:rFonts w:ascii="Arial" w:hAnsi="Arial" w:cs="Arial"/>
        </w:rPr>
        <w:t>.</w:t>
      </w:r>
      <w:r w:rsidR="00737772">
        <w:rPr>
          <w:rStyle w:val="FootnoteReference"/>
          <w:rFonts w:ascii="Arial" w:hAnsi="Arial" w:cs="Arial"/>
        </w:rPr>
        <w:footnoteReference w:id="57"/>
      </w:r>
      <w:r w:rsidRPr="00C665DA">
        <w:rPr>
          <w:rFonts w:ascii="Arial" w:hAnsi="Arial" w:cs="Arial"/>
        </w:rPr>
        <w:t xml:space="preserve"> </w:t>
      </w:r>
      <w:r w:rsidR="00A367E1">
        <w:rPr>
          <w:rFonts w:ascii="Arial" w:hAnsi="Arial" w:cs="Arial"/>
        </w:rPr>
        <w:t xml:space="preserve">Given the size of </w:t>
      </w:r>
      <w:r w:rsidRPr="00C665DA">
        <w:rPr>
          <w:rFonts w:ascii="Arial" w:hAnsi="Arial" w:cs="Arial"/>
        </w:rPr>
        <w:t>V&amp;A</w:t>
      </w:r>
      <w:r w:rsidR="00A367E1">
        <w:rPr>
          <w:rFonts w:ascii="Arial" w:hAnsi="Arial" w:cs="Arial"/>
        </w:rPr>
        <w:t xml:space="preserve"> it</w:t>
      </w:r>
      <w:r w:rsidRPr="00C665DA">
        <w:rPr>
          <w:rFonts w:ascii="Arial" w:hAnsi="Arial" w:cs="Arial"/>
        </w:rPr>
        <w:t xml:space="preserve"> is able to import in container loads and use the product before </w:t>
      </w:r>
      <w:r w:rsidR="00523237" w:rsidRPr="00C665DA">
        <w:rPr>
          <w:rFonts w:ascii="Arial" w:hAnsi="Arial" w:cs="Arial"/>
        </w:rPr>
        <w:t>its</w:t>
      </w:r>
      <w:r w:rsidRPr="00C665DA">
        <w:rPr>
          <w:rFonts w:ascii="Arial" w:hAnsi="Arial" w:cs="Arial"/>
        </w:rPr>
        <w:t xml:space="preserve"> shelf life expires. </w:t>
      </w:r>
      <w:r w:rsidR="00A367E1">
        <w:rPr>
          <w:rFonts w:ascii="Arial" w:hAnsi="Arial" w:cs="Arial"/>
        </w:rPr>
        <w:t>Furthermore, i</w:t>
      </w:r>
      <w:r w:rsidR="00523237" w:rsidRPr="00C665DA">
        <w:rPr>
          <w:rFonts w:ascii="Arial" w:hAnsi="Arial" w:cs="Arial"/>
        </w:rPr>
        <w:t xml:space="preserve">t </w:t>
      </w:r>
      <w:r w:rsidRPr="00C665DA">
        <w:rPr>
          <w:rFonts w:ascii="Arial" w:hAnsi="Arial" w:cs="Arial"/>
        </w:rPr>
        <w:t>import</w:t>
      </w:r>
      <w:r w:rsidR="00523237" w:rsidRPr="00C665DA">
        <w:rPr>
          <w:rFonts w:ascii="Arial" w:hAnsi="Arial" w:cs="Arial"/>
        </w:rPr>
        <w:t>s</w:t>
      </w:r>
      <w:r w:rsidRPr="00C665DA">
        <w:rPr>
          <w:rFonts w:ascii="Arial" w:hAnsi="Arial" w:cs="Arial"/>
        </w:rPr>
        <w:t xml:space="preserve"> a base resin and ha</w:t>
      </w:r>
      <w:r w:rsidR="00523237" w:rsidRPr="00C665DA">
        <w:rPr>
          <w:rFonts w:ascii="Arial" w:hAnsi="Arial" w:cs="Arial"/>
        </w:rPr>
        <w:t>s</w:t>
      </w:r>
      <w:r w:rsidRPr="00C665DA">
        <w:rPr>
          <w:rFonts w:ascii="Arial" w:hAnsi="Arial" w:cs="Arial"/>
        </w:rPr>
        <w:t xml:space="preserve"> </w:t>
      </w:r>
      <w:r w:rsidR="0016014A" w:rsidRPr="00C665DA">
        <w:rPr>
          <w:rFonts w:ascii="Arial" w:hAnsi="Arial" w:cs="Arial"/>
        </w:rPr>
        <w:t xml:space="preserve">its own chemist and blending </w:t>
      </w:r>
      <w:r w:rsidRPr="00C665DA">
        <w:rPr>
          <w:rFonts w:ascii="Arial" w:hAnsi="Arial" w:cs="Arial"/>
        </w:rPr>
        <w:t>facilities.</w:t>
      </w:r>
      <w:r w:rsidR="004213F0">
        <w:rPr>
          <w:rStyle w:val="FootnoteReference"/>
          <w:rFonts w:ascii="Arial" w:hAnsi="Arial" w:cs="Arial"/>
        </w:rPr>
        <w:footnoteReference w:id="58"/>
      </w:r>
      <w:r w:rsidR="004213F0" w:rsidRPr="00C665DA">
        <w:rPr>
          <w:rFonts w:ascii="Arial" w:hAnsi="Arial" w:cs="Arial"/>
        </w:rPr>
        <w:t xml:space="preserve"> </w:t>
      </w:r>
      <w:r w:rsidRPr="00C665DA">
        <w:rPr>
          <w:rFonts w:ascii="Arial" w:hAnsi="Arial" w:cs="Arial"/>
        </w:rPr>
        <w:t xml:space="preserve"> V&amp;A </w:t>
      </w:r>
      <w:r w:rsidR="00A367E1">
        <w:rPr>
          <w:rFonts w:ascii="Arial" w:hAnsi="Arial" w:cs="Arial"/>
        </w:rPr>
        <w:t>also</w:t>
      </w:r>
      <w:r w:rsidR="00523237" w:rsidRPr="00C665DA">
        <w:rPr>
          <w:rFonts w:ascii="Arial" w:hAnsi="Arial" w:cs="Arial"/>
        </w:rPr>
        <w:t xml:space="preserve"> </w:t>
      </w:r>
      <w:r w:rsidRPr="00C665DA">
        <w:rPr>
          <w:rFonts w:ascii="Arial" w:hAnsi="Arial" w:cs="Arial"/>
        </w:rPr>
        <w:t xml:space="preserve">gets a rebate on the </w:t>
      </w:r>
      <w:r w:rsidR="00CE59AF">
        <w:rPr>
          <w:rFonts w:ascii="Arial" w:hAnsi="Arial" w:cs="Arial"/>
        </w:rPr>
        <w:t xml:space="preserve">UPR import </w:t>
      </w:r>
      <w:r w:rsidRPr="00C665DA">
        <w:rPr>
          <w:rFonts w:ascii="Arial" w:hAnsi="Arial" w:cs="Arial"/>
        </w:rPr>
        <w:t>tariff</w:t>
      </w:r>
      <w:r w:rsidR="00523237" w:rsidRPr="00C665DA">
        <w:rPr>
          <w:rFonts w:ascii="Arial" w:hAnsi="Arial" w:cs="Arial"/>
        </w:rPr>
        <w:t xml:space="preserve"> due to the fact it exports the final product and</w:t>
      </w:r>
      <w:r w:rsidR="00125FAD">
        <w:rPr>
          <w:rFonts w:ascii="Arial" w:hAnsi="Arial" w:cs="Arial"/>
        </w:rPr>
        <w:t>, as stated above,</w:t>
      </w:r>
      <w:r w:rsidR="00523237" w:rsidRPr="00C665DA">
        <w:rPr>
          <w:rFonts w:ascii="Arial" w:hAnsi="Arial" w:cs="Arial"/>
        </w:rPr>
        <w:t xml:space="preserve"> it also </w:t>
      </w:r>
      <w:r w:rsidR="00664535">
        <w:rPr>
          <w:rFonts w:ascii="Arial" w:hAnsi="Arial" w:cs="Arial"/>
        </w:rPr>
        <w:t>receives</w:t>
      </w:r>
      <w:r w:rsidR="00664535" w:rsidRPr="00C665DA">
        <w:rPr>
          <w:rFonts w:ascii="Arial" w:hAnsi="Arial" w:cs="Arial"/>
        </w:rPr>
        <w:t xml:space="preserve"> </w:t>
      </w:r>
      <w:r w:rsidR="00523237" w:rsidRPr="00C665DA">
        <w:rPr>
          <w:rFonts w:ascii="Arial" w:hAnsi="Arial" w:cs="Arial"/>
        </w:rPr>
        <w:t xml:space="preserve">credit terms from </w:t>
      </w:r>
      <w:r w:rsidR="00C837A4">
        <w:rPr>
          <w:rFonts w:ascii="Arial" w:hAnsi="Arial" w:cs="Arial"/>
        </w:rPr>
        <w:t>its</w:t>
      </w:r>
      <w:r w:rsidR="00523237" w:rsidRPr="00C665DA">
        <w:rPr>
          <w:rFonts w:ascii="Arial" w:hAnsi="Arial" w:cs="Arial"/>
        </w:rPr>
        <w:t xml:space="preserve"> supplier.</w:t>
      </w:r>
      <w:r w:rsidR="00F64EEA" w:rsidRPr="00C665DA">
        <w:rPr>
          <w:rFonts w:ascii="Arial" w:hAnsi="Arial" w:cs="Arial"/>
        </w:rPr>
        <w:t xml:space="preserve"> </w:t>
      </w:r>
    </w:p>
    <w:p w:rsidR="00523237" w:rsidRPr="00C665DA" w:rsidRDefault="00F64EEA" w:rsidP="0080582B">
      <w:pPr>
        <w:pStyle w:val="ListParagraph"/>
        <w:numPr>
          <w:ilvl w:val="0"/>
          <w:numId w:val="2"/>
        </w:numPr>
        <w:spacing w:after="240" w:line="360" w:lineRule="auto"/>
        <w:ind w:left="0" w:firstLine="0"/>
        <w:jc w:val="both"/>
        <w:rPr>
          <w:rFonts w:ascii="Arial" w:hAnsi="Arial" w:cs="Arial"/>
        </w:rPr>
      </w:pPr>
      <w:r w:rsidRPr="00C665DA">
        <w:rPr>
          <w:rFonts w:ascii="Arial" w:hAnsi="Arial" w:cs="Arial"/>
        </w:rPr>
        <w:t xml:space="preserve">We concur with the Commission that V&amp;A’s ability to </w:t>
      </w:r>
      <w:r w:rsidR="00254398">
        <w:rPr>
          <w:rFonts w:ascii="Arial" w:hAnsi="Arial" w:cs="Arial"/>
        </w:rPr>
        <w:t xml:space="preserve">directly </w:t>
      </w:r>
      <w:r w:rsidRPr="00C665DA">
        <w:rPr>
          <w:rFonts w:ascii="Arial" w:hAnsi="Arial" w:cs="Arial"/>
        </w:rPr>
        <w:t xml:space="preserve">import cannot </w:t>
      </w:r>
      <w:r w:rsidR="00125FAD">
        <w:rPr>
          <w:rFonts w:ascii="Arial" w:hAnsi="Arial" w:cs="Arial"/>
        </w:rPr>
        <w:t xml:space="preserve">be considered the norm that would apply to </w:t>
      </w:r>
      <w:r w:rsidRPr="00C665DA">
        <w:rPr>
          <w:rFonts w:ascii="Arial" w:hAnsi="Arial" w:cs="Arial"/>
        </w:rPr>
        <w:t xml:space="preserve">smaller users of specialised resin. </w:t>
      </w:r>
      <w:r w:rsidR="00254398">
        <w:rPr>
          <w:rFonts w:ascii="Arial" w:hAnsi="Arial" w:cs="Arial"/>
        </w:rPr>
        <w:t xml:space="preserve">We note that </w:t>
      </w:r>
      <w:r w:rsidR="00254398" w:rsidRPr="00C665DA">
        <w:rPr>
          <w:rFonts w:ascii="Arial" w:hAnsi="Arial" w:cs="Arial"/>
        </w:rPr>
        <w:t xml:space="preserve">Perrow conceded that the question of whether </w:t>
      </w:r>
      <w:r w:rsidR="00125FAD">
        <w:rPr>
          <w:rFonts w:ascii="Arial" w:hAnsi="Arial" w:cs="Arial"/>
        </w:rPr>
        <w:t xml:space="preserve">or not </w:t>
      </w:r>
      <w:r w:rsidR="00254398" w:rsidRPr="00C665DA">
        <w:rPr>
          <w:rFonts w:ascii="Arial" w:hAnsi="Arial" w:cs="Arial"/>
        </w:rPr>
        <w:t xml:space="preserve">a customer could switch to imports </w:t>
      </w:r>
      <w:r w:rsidR="00254398" w:rsidRPr="00C665DA">
        <w:rPr>
          <w:rFonts w:ascii="Arial" w:hAnsi="Arial" w:cs="Arial"/>
        </w:rPr>
        <w:lastRenderedPageBreak/>
        <w:t>would be a customer-specific question, depending on the particular facts of a particular customer.</w:t>
      </w:r>
      <w:r w:rsidR="00254398" w:rsidRPr="00FF1A27">
        <w:rPr>
          <w:rStyle w:val="FootnoteReference"/>
          <w:rFonts w:ascii="Arial" w:hAnsi="Arial" w:cs="Arial"/>
        </w:rPr>
        <w:footnoteReference w:id="59"/>
      </w:r>
      <w:r w:rsidR="00125FAD">
        <w:rPr>
          <w:rFonts w:ascii="Arial" w:hAnsi="Arial" w:cs="Arial"/>
        </w:rPr>
        <w:t xml:space="preserve"> This would include the size of the customer’s UPR demand</w:t>
      </w:r>
      <w:r w:rsidR="00564EC3">
        <w:rPr>
          <w:rFonts w:ascii="Arial" w:hAnsi="Arial" w:cs="Arial"/>
        </w:rPr>
        <w:t xml:space="preserve"> and the type of UPR required</w:t>
      </w:r>
      <w:r w:rsidR="00125FAD">
        <w:rPr>
          <w:rFonts w:ascii="Arial" w:hAnsi="Arial" w:cs="Arial"/>
        </w:rPr>
        <w:t>.</w:t>
      </w:r>
    </w:p>
    <w:p w:rsidR="00D4776F" w:rsidRPr="00D4776F" w:rsidRDefault="00254398" w:rsidP="0080582B">
      <w:pPr>
        <w:pStyle w:val="ListParagraph"/>
        <w:numPr>
          <w:ilvl w:val="0"/>
          <w:numId w:val="2"/>
        </w:numPr>
        <w:spacing w:after="240" w:line="360" w:lineRule="auto"/>
        <w:ind w:left="0" w:firstLine="0"/>
        <w:jc w:val="both"/>
        <w:rPr>
          <w:rFonts w:ascii="Arial" w:hAnsi="Arial" w:cs="Arial"/>
        </w:rPr>
      </w:pPr>
      <w:r>
        <w:rPr>
          <w:rFonts w:ascii="Arial" w:hAnsi="Arial" w:cs="Arial"/>
        </w:rPr>
        <w:t xml:space="preserve">Furthermore, the </w:t>
      </w:r>
      <w:r w:rsidR="006B1CD6" w:rsidRPr="00D4776F">
        <w:rPr>
          <w:rFonts w:ascii="Arial" w:hAnsi="Arial" w:cs="Arial"/>
        </w:rPr>
        <w:t>witnesses</w:t>
      </w:r>
      <w:r w:rsidR="006B1CD6">
        <w:rPr>
          <w:rFonts w:ascii="Arial" w:hAnsi="Arial" w:cs="Arial"/>
        </w:rPr>
        <w:t xml:space="preserve"> </w:t>
      </w:r>
      <w:r w:rsidR="00125FAD">
        <w:rPr>
          <w:rFonts w:ascii="Arial" w:hAnsi="Arial" w:cs="Arial"/>
        </w:rPr>
        <w:t xml:space="preserve">who testified </w:t>
      </w:r>
      <w:r w:rsidR="006B1CD6">
        <w:rPr>
          <w:rFonts w:ascii="Arial" w:hAnsi="Arial" w:cs="Arial"/>
        </w:rPr>
        <w:t xml:space="preserve">identified </w:t>
      </w:r>
      <w:r>
        <w:rPr>
          <w:rFonts w:ascii="Arial" w:hAnsi="Arial" w:cs="Arial"/>
        </w:rPr>
        <w:t xml:space="preserve">a number of </w:t>
      </w:r>
      <w:r w:rsidR="006B1CD6">
        <w:rPr>
          <w:rFonts w:ascii="Arial" w:hAnsi="Arial" w:cs="Arial"/>
        </w:rPr>
        <w:t>o</w:t>
      </w:r>
      <w:r w:rsidR="00523237" w:rsidRPr="00D4776F">
        <w:rPr>
          <w:rFonts w:ascii="Arial" w:hAnsi="Arial" w:cs="Arial"/>
        </w:rPr>
        <w:t>bstacles</w:t>
      </w:r>
      <w:r w:rsidR="00125FAD">
        <w:rPr>
          <w:rFonts w:ascii="Arial" w:hAnsi="Arial" w:cs="Arial"/>
        </w:rPr>
        <w:t>,</w:t>
      </w:r>
      <w:r>
        <w:rPr>
          <w:rFonts w:ascii="Arial" w:hAnsi="Arial" w:cs="Arial"/>
        </w:rPr>
        <w:t xml:space="preserve"> practical considerations </w:t>
      </w:r>
      <w:r w:rsidR="00125FAD">
        <w:rPr>
          <w:rFonts w:ascii="Arial" w:hAnsi="Arial" w:cs="Arial"/>
        </w:rPr>
        <w:t xml:space="preserve">and additional costs </w:t>
      </w:r>
      <w:r>
        <w:rPr>
          <w:rFonts w:ascii="Arial" w:hAnsi="Arial" w:cs="Arial"/>
        </w:rPr>
        <w:t xml:space="preserve">that make </w:t>
      </w:r>
      <w:r w:rsidR="00523237">
        <w:rPr>
          <w:rFonts w:ascii="Arial" w:hAnsi="Arial" w:cs="Arial"/>
        </w:rPr>
        <w:t>UPR imports</w:t>
      </w:r>
      <w:r>
        <w:rPr>
          <w:rFonts w:ascii="Arial" w:hAnsi="Arial" w:cs="Arial"/>
        </w:rPr>
        <w:t xml:space="preserve"> less attractive or viable</w:t>
      </w:r>
      <w:r w:rsidR="006B1CD6">
        <w:rPr>
          <w:rFonts w:ascii="Arial" w:hAnsi="Arial" w:cs="Arial"/>
        </w:rPr>
        <w:t>, t</w:t>
      </w:r>
      <w:r w:rsidR="00523237">
        <w:rPr>
          <w:rFonts w:ascii="Arial" w:hAnsi="Arial" w:cs="Arial"/>
        </w:rPr>
        <w:t xml:space="preserve">hese </w:t>
      </w:r>
      <w:r w:rsidR="00D4776F">
        <w:rPr>
          <w:rFonts w:ascii="Arial" w:hAnsi="Arial" w:cs="Arial"/>
        </w:rPr>
        <w:t xml:space="preserve">are: </w:t>
      </w:r>
      <w:r w:rsidR="00D4776F" w:rsidRPr="00D4776F">
        <w:rPr>
          <w:rFonts w:ascii="Arial" w:hAnsi="Arial" w:cs="Arial"/>
        </w:rPr>
        <w:t xml:space="preserve"> </w:t>
      </w:r>
    </w:p>
    <w:p w:rsidR="00D4776F" w:rsidRPr="00D4776F" w:rsidRDefault="00D4776F" w:rsidP="0080582B">
      <w:pPr>
        <w:pStyle w:val="ListParagraph"/>
        <w:numPr>
          <w:ilvl w:val="1"/>
          <w:numId w:val="2"/>
        </w:numPr>
        <w:spacing w:after="240" w:line="360" w:lineRule="auto"/>
        <w:jc w:val="both"/>
        <w:rPr>
          <w:rFonts w:ascii="Arial" w:hAnsi="Arial" w:cs="Arial"/>
        </w:rPr>
      </w:pPr>
      <w:r w:rsidRPr="00D4776F">
        <w:rPr>
          <w:rFonts w:ascii="Arial" w:hAnsi="Arial" w:cs="Arial"/>
        </w:rPr>
        <w:t>Trade barriers in respect of UPR imports from non-European countries in the form of a 10% tariff.</w:t>
      </w:r>
      <w:r w:rsidR="00DE6EB3">
        <w:rPr>
          <w:rStyle w:val="FootnoteReference"/>
          <w:rFonts w:ascii="Arial" w:hAnsi="Arial" w:cs="Arial"/>
        </w:rPr>
        <w:footnoteReference w:id="60"/>
      </w:r>
      <w:r w:rsidRPr="00D4776F">
        <w:rPr>
          <w:rFonts w:ascii="Arial" w:hAnsi="Arial" w:cs="Arial"/>
        </w:rPr>
        <w:t xml:space="preserve"> In addition, other transport and clearing costs </w:t>
      </w:r>
      <w:r w:rsidR="00DE6EB3">
        <w:rPr>
          <w:rFonts w:ascii="Arial" w:hAnsi="Arial" w:cs="Arial"/>
        </w:rPr>
        <w:t>were</w:t>
      </w:r>
      <w:r w:rsidRPr="00D4776F">
        <w:rPr>
          <w:rFonts w:ascii="Arial" w:hAnsi="Arial" w:cs="Arial"/>
        </w:rPr>
        <w:t xml:space="preserve"> estimated at around 4% from Asia, which implies a total 14% additional cost added to land foreign UPRs from Asia </w:t>
      </w:r>
      <w:r w:rsidR="007617F7">
        <w:rPr>
          <w:rFonts w:ascii="Arial" w:hAnsi="Arial" w:cs="Arial"/>
        </w:rPr>
        <w:t>(</w:t>
      </w:r>
      <w:r w:rsidRPr="00D4776F">
        <w:rPr>
          <w:rFonts w:ascii="Arial" w:hAnsi="Arial" w:cs="Arial"/>
        </w:rPr>
        <w:t xml:space="preserve">where the majority of imports </w:t>
      </w:r>
      <w:r w:rsidR="001A118B">
        <w:rPr>
          <w:rFonts w:ascii="Arial" w:hAnsi="Arial" w:cs="Arial"/>
        </w:rPr>
        <w:t>stem</w:t>
      </w:r>
      <w:r w:rsidRPr="00D4776F">
        <w:rPr>
          <w:rFonts w:ascii="Arial" w:hAnsi="Arial" w:cs="Arial"/>
        </w:rPr>
        <w:t xml:space="preserve"> from</w:t>
      </w:r>
      <w:r w:rsidR="007617F7">
        <w:rPr>
          <w:rFonts w:ascii="Arial" w:hAnsi="Arial" w:cs="Arial"/>
        </w:rPr>
        <w:t>) in South Africa</w:t>
      </w:r>
      <w:r w:rsidRPr="00D4776F">
        <w:rPr>
          <w:rFonts w:ascii="Arial" w:hAnsi="Arial" w:cs="Arial"/>
        </w:rPr>
        <w:t xml:space="preserve">. </w:t>
      </w:r>
    </w:p>
    <w:p w:rsidR="00D4776F" w:rsidRPr="00D4776F" w:rsidRDefault="00D4776F" w:rsidP="0080582B">
      <w:pPr>
        <w:pStyle w:val="ListParagraph"/>
        <w:numPr>
          <w:ilvl w:val="1"/>
          <w:numId w:val="2"/>
        </w:numPr>
        <w:spacing w:after="240" w:line="360" w:lineRule="auto"/>
        <w:jc w:val="both"/>
        <w:rPr>
          <w:rFonts w:ascii="Arial" w:hAnsi="Arial" w:cs="Arial"/>
        </w:rPr>
      </w:pPr>
      <w:r w:rsidRPr="00D4776F">
        <w:rPr>
          <w:rFonts w:ascii="Arial" w:hAnsi="Arial" w:cs="Arial"/>
        </w:rPr>
        <w:t>The record indicate</w:t>
      </w:r>
      <w:r w:rsidR="00DE6EB3">
        <w:rPr>
          <w:rFonts w:ascii="Arial" w:hAnsi="Arial" w:cs="Arial"/>
        </w:rPr>
        <w:t>d</w:t>
      </w:r>
      <w:r w:rsidRPr="00D4776F">
        <w:rPr>
          <w:rFonts w:ascii="Arial" w:hAnsi="Arial" w:cs="Arial"/>
        </w:rPr>
        <w:t xml:space="preserve"> that </w:t>
      </w:r>
      <w:r w:rsidR="00DE6EB3">
        <w:rPr>
          <w:rFonts w:ascii="Arial" w:hAnsi="Arial" w:cs="Arial"/>
        </w:rPr>
        <w:t xml:space="preserve">an application </w:t>
      </w:r>
      <w:r w:rsidRPr="00D4776F">
        <w:rPr>
          <w:rFonts w:ascii="Arial" w:hAnsi="Arial" w:cs="Arial"/>
        </w:rPr>
        <w:t>to ITAC to increase th</w:t>
      </w:r>
      <w:r w:rsidR="00C665DA">
        <w:rPr>
          <w:rFonts w:ascii="Arial" w:hAnsi="Arial" w:cs="Arial"/>
        </w:rPr>
        <w:t>e above-mentioned</w:t>
      </w:r>
      <w:r w:rsidRPr="00D4776F">
        <w:rPr>
          <w:rFonts w:ascii="Arial" w:hAnsi="Arial" w:cs="Arial"/>
        </w:rPr>
        <w:t xml:space="preserve"> tariff to 15% for both EU and non-EU countries </w:t>
      </w:r>
      <w:r w:rsidR="00DE6EB3">
        <w:rPr>
          <w:rFonts w:ascii="Arial" w:hAnsi="Arial" w:cs="Arial"/>
        </w:rPr>
        <w:t xml:space="preserve">was contemplated </w:t>
      </w:r>
      <w:r w:rsidRPr="00D4776F">
        <w:rPr>
          <w:rFonts w:ascii="Arial" w:hAnsi="Arial" w:cs="Arial"/>
        </w:rPr>
        <w:t>on the basis that raw material inputs attract the 15% tariff.</w:t>
      </w:r>
      <w:r w:rsidR="00DE6EB3">
        <w:rPr>
          <w:rStyle w:val="FootnoteReference"/>
          <w:rFonts w:ascii="Arial" w:hAnsi="Arial" w:cs="Arial"/>
        </w:rPr>
        <w:footnoteReference w:id="61"/>
      </w:r>
      <w:r w:rsidRPr="00D4776F">
        <w:rPr>
          <w:rFonts w:ascii="Arial" w:hAnsi="Arial" w:cs="Arial"/>
        </w:rPr>
        <w:t xml:space="preserve"> </w:t>
      </w:r>
      <w:r w:rsidR="001A118B">
        <w:rPr>
          <w:rFonts w:ascii="Arial" w:hAnsi="Arial" w:cs="Arial"/>
        </w:rPr>
        <w:t xml:space="preserve">Although </w:t>
      </w:r>
      <w:r w:rsidR="00157F5F" w:rsidRPr="00157F5F">
        <w:rPr>
          <w:rFonts w:ascii="Arial" w:hAnsi="Arial" w:cs="Arial"/>
        </w:rPr>
        <w:t>NCS/</w:t>
      </w:r>
      <w:r w:rsidR="00F47D4E" w:rsidRPr="00157F5F">
        <w:rPr>
          <w:rFonts w:ascii="Arial" w:hAnsi="Arial" w:cs="Arial"/>
        </w:rPr>
        <w:t xml:space="preserve">the </w:t>
      </w:r>
      <w:r w:rsidR="00157F5F" w:rsidRPr="00157F5F">
        <w:rPr>
          <w:rFonts w:ascii="Arial" w:hAnsi="Arial" w:cs="Arial"/>
        </w:rPr>
        <w:t>Durban</w:t>
      </w:r>
      <w:r w:rsidR="00157F5F">
        <w:rPr>
          <w:rFonts w:ascii="Arial" w:hAnsi="Arial" w:cs="Arial"/>
        </w:rPr>
        <w:t xml:space="preserve"> </w:t>
      </w:r>
      <w:r w:rsidR="00157F5F" w:rsidRPr="00157F5F">
        <w:rPr>
          <w:rFonts w:ascii="Arial" w:hAnsi="Arial" w:cs="Arial"/>
        </w:rPr>
        <w:t>Chemicals</w:t>
      </w:r>
      <w:r w:rsidR="00157F5F">
        <w:rPr>
          <w:rFonts w:ascii="Arial" w:hAnsi="Arial" w:cs="Arial"/>
        </w:rPr>
        <w:t xml:space="preserve"> </w:t>
      </w:r>
      <w:r w:rsidR="00157F5F" w:rsidRPr="00157F5F">
        <w:rPr>
          <w:rFonts w:ascii="Arial" w:hAnsi="Arial" w:cs="Arial"/>
        </w:rPr>
        <w:t>Cluster</w:t>
      </w:r>
      <w:r w:rsidRPr="00D4776F">
        <w:rPr>
          <w:rFonts w:ascii="Arial" w:hAnsi="Arial" w:cs="Arial"/>
        </w:rPr>
        <w:t xml:space="preserve"> placed this application on hold</w:t>
      </w:r>
      <w:r w:rsidR="00C665DA">
        <w:rPr>
          <w:rFonts w:ascii="Arial" w:hAnsi="Arial" w:cs="Arial"/>
        </w:rPr>
        <w:t>,</w:t>
      </w:r>
      <w:r w:rsidR="00DE6EB3">
        <w:rPr>
          <w:rStyle w:val="FootnoteReference"/>
          <w:rFonts w:ascii="Arial" w:hAnsi="Arial" w:cs="Arial"/>
        </w:rPr>
        <w:footnoteReference w:id="62"/>
      </w:r>
      <w:r w:rsidR="001A118B">
        <w:rPr>
          <w:rFonts w:ascii="Arial" w:hAnsi="Arial" w:cs="Arial"/>
        </w:rPr>
        <w:t xml:space="preserve"> it could </w:t>
      </w:r>
      <w:r w:rsidR="00796B63">
        <w:rPr>
          <w:rFonts w:ascii="Arial" w:hAnsi="Arial" w:cs="Arial"/>
        </w:rPr>
        <w:t xml:space="preserve">be </w:t>
      </w:r>
      <w:r w:rsidRPr="00D4776F">
        <w:rPr>
          <w:rFonts w:ascii="Arial" w:hAnsi="Arial" w:cs="Arial"/>
        </w:rPr>
        <w:t>initiate</w:t>
      </w:r>
      <w:r w:rsidR="00796B63">
        <w:rPr>
          <w:rFonts w:ascii="Arial" w:hAnsi="Arial" w:cs="Arial"/>
        </w:rPr>
        <w:t>d</w:t>
      </w:r>
      <w:r w:rsidRPr="00D4776F">
        <w:rPr>
          <w:rFonts w:ascii="Arial" w:hAnsi="Arial" w:cs="Arial"/>
        </w:rPr>
        <w:t xml:space="preserve"> at any time in the future.</w:t>
      </w:r>
      <w:r w:rsidR="00DE6EB3">
        <w:rPr>
          <w:rStyle w:val="FootnoteReference"/>
          <w:rFonts w:ascii="Arial" w:hAnsi="Arial" w:cs="Arial"/>
        </w:rPr>
        <w:footnoteReference w:id="63"/>
      </w:r>
      <w:r w:rsidRPr="00D4776F">
        <w:rPr>
          <w:rFonts w:ascii="Arial" w:hAnsi="Arial" w:cs="Arial"/>
        </w:rPr>
        <w:t xml:space="preserve"> </w:t>
      </w:r>
    </w:p>
    <w:p w:rsidR="00D4776F" w:rsidRDefault="00DE6EB3" w:rsidP="0080582B">
      <w:pPr>
        <w:pStyle w:val="ListParagraph"/>
        <w:numPr>
          <w:ilvl w:val="1"/>
          <w:numId w:val="2"/>
        </w:numPr>
        <w:spacing w:after="240" w:line="360" w:lineRule="auto"/>
        <w:jc w:val="both"/>
        <w:rPr>
          <w:rFonts w:ascii="Arial" w:hAnsi="Arial" w:cs="Arial"/>
        </w:rPr>
      </w:pPr>
      <w:r>
        <w:rPr>
          <w:rFonts w:ascii="Arial" w:hAnsi="Arial" w:cs="Arial"/>
        </w:rPr>
        <w:t>Various witnesses confirmed that imports negatively impact the</w:t>
      </w:r>
      <w:r w:rsidR="00D4776F" w:rsidRPr="00D4776F">
        <w:rPr>
          <w:rFonts w:ascii="Arial" w:hAnsi="Arial" w:cs="Arial"/>
        </w:rPr>
        <w:t xml:space="preserve"> </w:t>
      </w:r>
      <w:r>
        <w:rPr>
          <w:rFonts w:ascii="Arial" w:hAnsi="Arial" w:cs="Arial"/>
        </w:rPr>
        <w:t xml:space="preserve">ultimate </w:t>
      </w:r>
      <w:r w:rsidR="00067ACF">
        <w:rPr>
          <w:rFonts w:ascii="Arial" w:hAnsi="Arial" w:cs="Arial"/>
        </w:rPr>
        <w:t xml:space="preserve">useable </w:t>
      </w:r>
      <w:r w:rsidR="00D4776F" w:rsidRPr="00D4776F">
        <w:rPr>
          <w:rFonts w:ascii="Arial" w:hAnsi="Arial" w:cs="Arial"/>
        </w:rPr>
        <w:t xml:space="preserve">shelf life </w:t>
      </w:r>
      <w:r>
        <w:rPr>
          <w:rFonts w:ascii="Arial" w:hAnsi="Arial" w:cs="Arial"/>
        </w:rPr>
        <w:t xml:space="preserve">of the UPR </w:t>
      </w:r>
      <w:r w:rsidR="00424902">
        <w:rPr>
          <w:rFonts w:ascii="Arial" w:hAnsi="Arial" w:cs="Arial"/>
        </w:rPr>
        <w:t xml:space="preserve">given </w:t>
      </w:r>
      <w:r w:rsidR="00D4776F" w:rsidRPr="00D4776F">
        <w:rPr>
          <w:rFonts w:ascii="Arial" w:hAnsi="Arial" w:cs="Arial"/>
        </w:rPr>
        <w:t xml:space="preserve">the lead time involved in importing, as well as </w:t>
      </w:r>
      <w:r w:rsidR="007B3155">
        <w:rPr>
          <w:rFonts w:ascii="Arial" w:hAnsi="Arial" w:cs="Arial"/>
        </w:rPr>
        <w:t xml:space="preserve">additional </w:t>
      </w:r>
      <w:r w:rsidR="00D4776F" w:rsidRPr="00D4776F">
        <w:rPr>
          <w:rFonts w:ascii="Arial" w:hAnsi="Arial" w:cs="Arial"/>
        </w:rPr>
        <w:t>stock</w:t>
      </w:r>
      <w:r w:rsidR="00614968">
        <w:rPr>
          <w:rFonts w:ascii="Arial" w:hAnsi="Arial" w:cs="Arial"/>
        </w:rPr>
        <w:t xml:space="preserve"> keep</w:t>
      </w:r>
      <w:r w:rsidR="00D4776F" w:rsidRPr="00D4776F">
        <w:rPr>
          <w:rFonts w:ascii="Arial" w:hAnsi="Arial" w:cs="Arial"/>
        </w:rPr>
        <w:t>ing challenges that come with bulk importing.</w:t>
      </w:r>
      <w:r w:rsidR="003618F8">
        <w:rPr>
          <w:rFonts w:ascii="Arial" w:hAnsi="Arial" w:cs="Arial"/>
        </w:rPr>
        <w:t xml:space="preserve"> The </w:t>
      </w:r>
      <w:r w:rsidR="007B3155">
        <w:rPr>
          <w:rFonts w:ascii="Arial" w:hAnsi="Arial" w:cs="Arial"/>
        </w:rPr>
        <w:t xml:space="preserve">evidence was that </w:t>
      </w:r>
      <w:r w:rsidR="003618F8">
        <w:rPr>
          <w:rFonts w:ascii="Arial" w:hAnsi="Arial" w:cs="Arial"/>
        </w:rPr>
        <w:t xml:space="preserve">UPR can take </w:t>
      </w:r>
      <w:r w:rsidR="00D23792">
        <w:rPr>
          <w:rFonts w:ascii="Arial" w:hAnsi="Arial" w:cs="Arial"/>
        </w:rPr>
        <w:t xml:space="preserve">between </w:t>
      </w:r>
      <w:r w:rsidR="003618F8">
        <w:rPr>
          <w:rFonts w:ascii="Arial" w:hAnsi="Arial" w:cs="Arial"/>
        </w:rPr>
        <w:t xml:space="preserve">approximately </w:t>
      </w:r>
      <w:r w:rsidR="00D23792">
        <w:rPr>
          <w:rFonts w:ascii="Arial" w:hAnsi="Arial" w:cs="Arial"/>
        </w:rPr>
        <w:t>four</w:t>
      </w:r>
      <w:r w:rsidR="003618F8">
        <w:rPr>
          <w:rFonts w:ascii="Arial" w:hAnsi="Arial" w:cs="Arial"/>
        </w:rPr>
        <w:t xml:space="preserve"> to </w:t>
      </w:r>
      <w:r w:rsidR="00A26539">
        <w:rPr>
          <w:rFonts w:ascii="Arial" w:hAnsi="Arial" w:cs="Arial"/>
        </w:rPr>
        <w:t>ten</w:t>
      </w:r>
      <w:r w:rsidR="003618F8">
        <w:rPr>
          <w:rFonts w:ascii="Arial" w:hAnsi="Arial" w:cs="Arial"/>
        </w:rPr>
        <w:t xml:space="preserve"> weeks to get to South Africa</w:t>
      </w:r>
      <w:r w:rsidR="00A26539">
        <w:rPr>
          <w:rFonts w:ascii="Arial" w:hAnsi="Arial" w:cs="Arial"/>
        </w:rPr>
        <w:t>, depending on where the resin is sourced from,</w:t>
      </w:r>
      <w:r w:rsidR="003618F8">
        <w:rPr>
          <w:rFonts w:ascii="Arial" w:hAnsi="Arial" w:cs="Arial"/>
        </w:rPr>
        <w:t xml:space="preserve"> and resin</w:t>
      </w:r>
      <w:r w:rsidR="00E77850">
        <w:rPr>
          <w:rFonts w:ascii="Arial" w:hAnsi="Arial" w:cs="Arial"/>
        </w:rPr>
        <w:t xml:space="preserve">, specifically specialised resin, </w:t>
      </w:r>
      <w:r w:rsidR="003618F8">
        <w:rPr>
          <w:rFonts w:ascii="Arial" w:hAnsi="Arial" w:cs="Arial"/>
        </w:rPr>
        <w:t xml:space="preserve">has a </w:t>
      </w:r>
      <w:r w:rsidR="00313A88">
        <w:rPr>
          <w:rFonts w:ascii="Arial" w:hAnsi="Arial" w:cs="Arial"/>
        </w:rPr>
        <w:t xml:space="preserve">limited shelf or storage </w:t>
      </w:r>
      <w:r w:rsidR="003618F8">
        <w:rPr>
          <w:rFonts w:ascii="Arial" w:hAnsi="Arial" w:cs="Arial"/>
        </w:rPr>
        <w:t xml:space="preserve">life of </w:t>
      </w:r>
      <w:r w:rsidR="00313A88">
        <w:rPr>
          <w:rFonts w:ascii="Arial" w:hAnsi="Arial" w:cs="Arial"/>
        </w:rPr>
        <w:t xml:space="preserve">usually </w:t>
      </w:r>
      <w:r w:rsidR="003618F8">
        <w:rPr>
          <w:rFonts w:ascii="Arial" w:hAnsi="Arial" w:cs="Arial"/>
        </w:rPr>
        <w:t>approximately six months. There is thus a danger in importing large volumes since these may gel before they are sold or used.</w:t>
      </w:r>
      <w:r w:rsidR="00D23792">
        <w:rPr>
          <w:rFonts w:ascii="Arial" w:hAnsi="Arial" w:cs="Arial"/>
        </w:rPr>
        <w:t xml:space="preserve"> On</w:t>
      </w:r>
      <w:r w:rsidR="00BE3816">
        <w:rPr>
          <w:rFonts w:ascii="Arial" w:hAnsi="Arial" w:cs="Arial"/>
        </w:rPr>
        <w:t>c</w:t>
      </w:r>
      <w:r w:rsidR="00D23792">
        <w:rPr>
          <w:rFonts w:ascii="Arial" w:hAnsi="Arial" w:cs="Arial"/>
        </w:rPr>
        <w:t xml:space="preserve">e </w:t>
      </w:r>
      <w:r w:rsidR="007B3155">
        <w:rPr>
          <w:rFonts w:ascii="Arial" w:hAnsi="Arial" w:cs="Arial"/>
        </w:rPr>
        <w:t xml:space="preserve">the </w:t>
      </w:r>
      <w:r w:rsidR="00D23792">
        <w:rPr>
          <w:rFonts w:ascii="Arial" w:hAnsi="Arial" w:cs="Arial"/>
        </w:rPr>
        <w:t>UPR gels it must be disposed of.</w:t>
      </w:r>
      <w:r w:rsidR="005D400A">
        <w:rPr>
          <w:rStyle w:val="FootnoteReference"/>
          <w:rFonts w:ascii="Arial" w:hAnsi="Arial" w:cs="Arial"/>
        </w:rPr>
        <w:footnoteReference w:id="64"/>
      </w:r>
      <w:r w:rsidR="00D4776F" w:rsidRPr="00D4776F">
        <w:rPr>
          <w:rFonts w:ascii="Arial" w:hAnsi="Arial" w:cs="Arial"/>
        </w:rPr>
        <w:t xml:space="preserve"> </w:t>
      </w:r>
    </w:p>
    <w:p w:rsidR="00985A92" w:rsidRPr="00985A92" w:rsidRDefault="007E2FFE" w:rsidP="0080582B">
      <w:pPr>
        <w:pStyle w:val="ListParagraph"/>
        <w:numPr>
          <w:ilvl w:val="1"/>
          <w:numId w:val="2"/>
        </w:numPr>
        <w:spacing w:after="240" w:line="360" w:lineRule="auto"/>
        <w:jc w:val="both"/>
        <w:rPr>
          <w:rFonts w:ascii="Arial" w:hAnsi="Arial" w:cs="Arial"/>
        </w:rPr>
      </w:pPr>
      <w:r>
        <w:rPr>
          <w:rFonts w:ascii="Arial" w:hAnsi="Arial" w:cs="Arial"/>
        </w:rPr>
        <w:lastRenderedPageBreak/>
        <w:t xml:space="preserve">Importing is associated with </w:t>
      </w:r>
      <w:r w:rsidR="00985A92" w:rsidRPr="00985A92">
        <w:rPr>
          <w:rFonts w:ascii="Arial" w:hAnsi="Arial" w:cs="Arial"/>
        </w:rPr>
        <w:t>exchange rate risk</w:t>
      </w:r>
      <w:r w:rsidR="00614968">
        <w:rPr>
          <w:rFonts w:ascii="Arial" w:hAnsi="Arial" w:cs="Arial"/>
        </w:rPr>
        <w:t>, particularly where margins are low.</w:t>
      </w:r>
      <w:r w:rsidR="00614968">
        <w:rPr>
          <w:rStyle w:val="FootnoteReference"/>
          <w:rFonts w:ascii="Arial" w:hAnsi="Arial" w:cs="Arial"/>
        </w:rPr>
        <w:footnoteReference w:id="65"/>
      </w:r>
      <w:r w:rsidR="00614968">
        <w:rPr>
          <w:rFonts w:ascii="Arial" w:hAnsi="Arial" w:cs="Arial"/>
        </w:rPr>
        <w:t xml:space="preserve"> </w:t>
      </w:r>
      <w:r w:rsidR="00985A92" w:rsidRPr="00985A92">
        <w:rPr>
          <w:rFonts w:ascii="Arial" w:hAnsi="Arial" w:cs="Arial"/>
        </w:rPr>
        <w:t xml:space="preserve"> </w:t>
      </w:r>
      <w:r w:rsidR="00614968">
        <w:rPr>
          <w:rFonts w:ascii="Arial" w:hAnsi="Arial" w:cs="Arial"/>
        </w:rPr>
        <w:t>F</w:t>
      </w:r>
      <w:r w:rsidR="00664535">
        <w:rPr>
          <w:rFonts w:ascii="Arial" w:hAnsi="Arial" w:cs="Arial"/>
        </w:rPr>
        <w:t>luctuating</w:t>
      </w:r>
      <w:r w:rsidR="00664535" w:rsidRPr="00985A92">
        <w:rPr>
          <w:rFonts w:ascii="Arial" w:hAnsi="Arial" w:cs="Arial"/>
        </w:rPr>
        <w:t xml:space="preserve"> </w:t>
      </w:r>
      <w:r w:rsidR="00985A92" w:rsidRPr="00985A92">
        <w:rPr>
          <w:rFonts w:ascii="Arial" w:hAnsi="Arial" w:cs="Arial"/>
        </w:rPr>
        <w:t>exchange rates</w:t>
      </w:r>
      <w:r w:rsidR="008013E6">
        <w:rPr>
          <w:rFonts w:ascii="Arial" w:hAnsi="Arial" w:cs="Arial"/>
        </w:rPr>
        <w:t xml:space="preserve"> </w:t>
      </w:r>
      <w:r w:rsidR="00985A92" w:rsidRPr="00985A92">
        <w:rPr>
          <w:rFonts w:ascii="Arial" w:hAnsi="Arial" w:cs="Arial"/>
        </w:rPr>
        <w:t xml:space="preserve">may mean that a customer is </w:t>
      </w:r>
      <w:r w:rsidR="0076009D">
        <w:rPr>
          <w:rFonts w:ascii="Arial" w:hAnsi="Arial" w:cs="Arial"/>
        </w:rPr>
        <w:t>burdened</w:t>
      </w:r>
      <w:r w:rsidR="00985A92" w:rsidRPr="00985A92">
        <w:rPr>
          <w:rFonts w:ascii="Arial" w:hAnsi="Arial" w:cs="Arial"/>
        </w:rPr>
        <w:t xml:space="preserve"> with stocks bought at high prices.</w:t>
      </w:r>
      <w:r>
        <w:rPr>
          <w:rFonts w:ascii="Arial" w:hAnsi="Arial" w:cs="Arial"/>
        </w:rPr>
        <w:t xml:space="preserve"> </w:t>
      </w:r>
      <w:r w:rsidR="00985A92" w:rsidRPr="00985A92">
        <w:rPr>
          <w:rFonts w:ascii="Arial" w:hAnsi="Arial" w:cs="Arial"/>
        </w:rPr>
        <w:t xml:space="preserve">In contrast, </w:t>
      </w:r>
      <w:r w:rsidR="007B3155">
        <w:rPr>
          <w:rFonts w:ascii="Arial" w:hAnsi="Arial" w:cs="Arial"/>
        </w:rPr>
        <w:t xml:space="preserve">the </w:t>
      </w:r>
      <w:r w:rsidR="00985A92" w:rsidRPr="00985A92">
        <w:rPr>
          <w:rFonts w:ascii="Arial" w:hAnsi="Arial" w:cs="Arial"/>
        </w:rPr>
        <w:t xml:space="preserve">domestic </w:t>
      </w:r>
      <w:r w:rsidR="007B3155">
        <w:rPr>
          <w:rFonts w:ascii="Arial" w:hAnsi="Arial" w:cs="Arial"/>
        </w:rPr>
        <w:t xml:space="preserve">UPR </w:t>
      </w:r>
      <w:r w:rsidR="00985A92" w:rsidRPr="00985A92">
        <w:rPr>
          <w:rFonts w:ascii="Arial" w:hAnsi="Arial" w:cs="Arial"/>
        </w:rPr>
        <w:t xml:space="preserve">suppliers can deliver within </w:t>
      </w:r>
      <w:r w:rsidR="00C837A4">
        <w:rPr>
          <w:rFonts w:ascii="Arial" w:hAnsi="Arial" w:cs="Arial"/>
        </w:rPr>
        <w:t xml:space="preserve">a </w:t>
      </w:r>
      <w:r w:rsidR="007F5B94">
        <w:rPr>
          <w:rFonts w:ascii="Arial" w:hAnsi="Arial" w:cs="Arial"/>
        </w:rPr>
        <w:t xml:space="preserve">short period, i.e. a </w:t>
      </w:r>
      <w:r w:rsidR="00C837A4">
        <w:rPr>
          <w:rFonts w:ascii="Arial" w:hAnsi="Arial" w:cs="Arial"/>
        </w:rPr>
        <w:t xml:space="preserve">period of </w:t>
      </w:r>
      <w:r w:rsidR="001E535C">
        <w:rPr>
          <w:rFonts w:ascii="Arial" w:hAnsi="Arial" w:cs="Arial"/>
        </w:rPr>
        <w:t>12</w:t>
      </w:r>
      <w:r w:rsidR="00985A92" w:rsidRPr="00985A92">
        <w:rPr>
          <w:rFonts w:ascii="Arial" w:hAnsi="Arial" w:cs="Arial"/>
        </w:rPr>
        <w:t xml:space="preserve"> </w:t>
      </w:r>
      <w:r w:rsidR="00034979">
        <w:rPr>
          <w:rFonts w:ascii="Arial" w:hAnsi="Arial" w:cs="Arial"/>
        </w:rPr>
        <w:t xml:space="preserve">to 24 </w:t>
      </w:r>
      <w:r w:rsidR="00985A92" w:rsidRPr="00985A92">
        <w:rPr>
          <w:rFonts w:ascii="Arial" w:hAnsi="Arial" w:cs="Arial"/>
        </w:rPr>
        <w:t xml:space="preserve">hours </w:t>
      </w:r>
      <w:r w:rsidR="00C837A4">
        <w:rPr>
          <w:rFonts w:ascii="Arial" w:hAnsi="Arial" w:cs="Arial"/>
        </w:rPr>
        <w:t xml:space="preserve">up </w:t>
      </w:r>
      <w:r w:rsidR="00613140">
        <w:rPr>
          <w:rFonts w:ascii="Arial" w:hAnsi="Arial" w:cs="Arial"/>
        </w:rPr>
        <w:t xml:space="preserve">to </w:t>
      </w:r>
      <w:r w:rsidR="00613140" w:rsidRPr="00985A92">
        <w:rPr>
          <w:rFonts w:ascii="Arial" w:hAnsi="Arial" w:cs="Arial"/>
        </w:rPr>
        <w:t>a</w:t>
      </w:r>
      <w:r w:rsidR="00985A92" w:rsidRPr="00985A92">
        <w:rPr>
          <w:rFonts w:ascii="Arial" w:hAnsi="Arial" w:cs="Arial"/>
        </w:rPr>
        <w:t xml:space="preserve"> week</w:t>
      </w:r>
      <w:r w:rsidR="00067ACF">
        <w:rPr>
          <w:rFonts w:ascii="Arial" w:hAnsi="Arial" w:cs="Arial"/>
        </w:rPr>
        <w:t>,</w:t>
      </w:r>
      <w:r w:rsidR="00985A92" w:rsidRPr="00985A92">
        <w:rPr>
          <w:rFonts w:ascii="Arial" w:hAnsi="Arial" w:cs="Arial"/>
        </w:rPr>
        <w:t xml:space="preserve"> even for large</w:t>
      </w:r>
      <w:r w:rsidR="00034979">
        <w:rPr>
          <w:rFonts w:ascii="Arial" w:hAnsi="Arial" w:cs="Arial"/>
        </w:rPr>
        <w:t>r</w:t>
      </w:r>
      <w:r w:rsidR="00985A92" w:rsidRPr="00985A92">
        <w:rPr>
          <w:rFonts w:ascii="Arial" w:hAnsi="Arial" w:cs="Arial"/>
        </w:rPr>
        <w:t xml:space="preserve"> customers.</w:t>
      </w:r>
      <w:r>
        <w:rPr>
          <w:rStyle w:val="FootnoteReference"/>
          <w:rFonts w:ascii="Arial" w:hAnsi="Arial" w:cs="Arial"/>
        </w:rPr>
        <w:footnoteReference w:id="66"/>
      </w:r>
    </w:p>
    <w:p w:rsidR="00985A92" w:rsidRPr="00985A92" w:rsidRDefault="00985A92" w:rsidP="0080582B">
      <w:pPr>
        <w:pStyle w:val="ListParagraph"/>
        <w:numPr>
          <w:ilvl w:val="1"/>
          <w:numId w:val="2"/>
        </w:numPr>
        <w:spacing w:after="240" w:line="360" w:lineRule="auto"/>
        <w:jc w:val="both"/>
        <w:rPr>
          <w:rFonts w:ascii="Arial" w:hAnsi="Arial" w:cs="Arial"/>
        </w:rPr>
      </w:pPr>
      <w:r w:rsidRPr="00985A92">
        <w:rPr>
          <w:rFonts w:ascii="Arial" w:hAnsi="Arial" w:cs="Arial"/>
        </w:rPr>
        <w:t xml:space="preserve">The </w:t>
      </w:r>
      <w:r w:rsidR="00AC31FD">
        <w:rPr>
          <w:rFonts w:ascii="Arial" w:hAnsi="Arial" w:cs="Arial"/>
        </w:rPr>
        <w:t>importation</w:t>
      </w:r>
      <w:r w:rsidR="00AC31FD" w:rsidRPr="00985A92">
        <w:rPr>
          <w:rFonts w:ascii="Arial" w:hAnsi="Arial" w:cs="Arial"/>
        </w:rPr>
        <w:t xml:space="preserve"> </w:t>
      </w:r>
      <w:r w:rsidRPr="00985A92">
        <w:rPr>
          <w:rFonts w:ascii="Arial" w:hAnsi="Arial" w:cs="Arial"/>
        </w:rPr>
        <w:t xml:space="preserve">lead times </w:t>
      </w:r>
      <w:r w:rsidR="00AC31FD">
        <w:rPr>
          <w:rFonts w:ascii="Arial" w:hAnsi="Arial" w:cs="Arial"/>
        </w:rPr>
        <w:t xml:space="preserve">further create </w:t>
      </w:r>
      <w:r w:rsidRPr="00985A92">
        <w:rPr>
          <w:rFonts w:ascii="Arial" w:hAnsi="Arial" w:cs="Arial"/>
        </w:rPr>
        <w:t xml:space="preserve">working capital costs </w:t>
      </w:r>
      <w:r w:rsidR="009F6B1A">
        <w:rPr>
          <w:rFonts w:ascii="Arial" w:hAnsi="Arial" w:cs="Arial"/>
        </w:rPr>
        <w:t xml:space="preserve">or cash-flow </w:t>
      </w:r>
      <w:r w:rsidRPr="00985A92">
        <w:rPr>
          <w:rFonts w:ascii="Arial" w:hAnsi="Arial" w:cs="Arial"/>
        </w:rPr>
        <w:t xml:space="preserve">challenges </w:t>
      </w:r>
      <w:r w:rsidR="00AC31FD">
        <w:rPr>
          <w:rFonts w:ascii="Arial" w:hAnsi="Arial" w:cs="Arial"/>
        </w:rPr>
        <w:t>since</w:t>
      </w:r>
      <w:r w:rsidRPr="00985A92">
        <w:rPr>
          <w:rFonts w:ascii="Arial" w:hAnsi="Arial" w:cs="Arial"/>
        </w:rPr>
        <w:t xml:space="preserve"> the purchase of the </w:t>
      </w:r>
      <w:r w:rsidR="00AC31FD">
        <w:rPr>
          <w:rFonts w:ascii="Arial" w:hAnsi="Arial" w:cs="Arial"/>
        </w:rPr>
        <w:t>UPR</w:t>
      </w:r>
      <w:r w:rsidRPr="00985A92">
        <w:rPr>
          <w:rFonts w:ascii="Arial" w:hAnsi="Arial" w:cs="Arial"/>
        </w:rPr>
        <w:t xml:space="preserve"> needs to be financed well before the imported product is actually sold.</w:t>
      </w:r>
      <w:r w:rsidR="009F6B1A">
        <w:rPr>
          <w:rFonts w:ascii="Arial" w:hAnsi="Arial" w:cs="Arial"/>
        </w:rPr>
        <w:t xml:space="preserve"> Beal indicated that the period between ordering and result</w:t>
      </w:r>
      <w:r w:rsidR="00D32A80">
        <w:rPr>
          <w:rFonts w:ascii="Arial" w:hAnsi="Arial" w:cs="Arial"/>
        </w:rPr>
        <w:t>ant</w:t>
      </w:r>
      <w:r w:rsidR="009F6B1A">
        <w:rPr>
          <w:rFonts w:ascii="Arial" w:hAnsi="Arial" w:cs="Arial"/>
        </w:rPr>
        <w:t xml:space="preserve"> sales of the UPR can be as much as 150 to 180 days.</w:t>
      </w:r>
      <w:r w:rsidR="007E2FFE">
        <w:rPr>
          <w:rStyle w:val="FootnoteReference"/>
          <w:rFonts w:ascii="Arial" w:hAnsi="Arial" w:cs="Arial"/>
        </w:rPr>
        <w:footnoteReference w:id="67"/>
      </w:r>
      <w:r w:rsidRPr="00985A92">
        <w:rPr>
          <w:rFonts w:ascii="Arial" w:hAnsi="Arial" w:cs="Arial"/>
        </w:rPr>
        <w:t xml:space="preserve"> Given the lead times for imports, this means holding working capital in stock for </w:t>
      </w:r>
      <w:r w:rsidR="0076009D">
        <w:rPr>
          <w:rFonts w:ascii="Arial" w:hAnsi="Arial" w:cs="Arial"/>
        </w:rPr>
        <w:t>three to four</w:t>
      </w:r>
      <w:r w:rsidRPr="00985A92">
        <w:rPr>
          <w:rFonts w:ascii="Arial" w:hAnsi="Arial" w:cs="Arial"/>
        </w:rPr>
        <w:t xml:space="preserve"> months. In contrast, domestic manufacturers usually provide credit to their </w:t>
      </w:r>
      <w:proofErr w:type="gramStart"/>
      <w:r w:rsidRPr="00985A92">
        <w:rPr>
          <w:rFonts w:ascii="Arial" w:hAnsi="Arial" w:cs="Arial"/>
        </w:rPr>
        <w:t>customers, which reduces</w:t>
      </w:r>
      <w:proofErr w:type="gramEnd"/>
      <w:r w:rsidRPr="00985A92">
        <w:rPr>
          <w:rFonts w:ascii="Arial" w:hAnsi="Arial" w:cs="Arial"/>
        </w:rPr>
        <w:t xml:space="preserve"> their working capital requirements. </w:t>
      </w:r>
      <w:r w:rsidR="00D32A80">
        <w:rPr>
          <w:rFonts w:ascii="Arial" w:hAnsi="Arial" w:cs="Arial"/>
        </w:rPr>
        <w:t>As stated above, although V&amp;A has overcome this problem, it is a particularly large UPR user.</w:t>
      </w:r>
    </w:p>
    <w:p w:rsidR="00985A92" w:rsidRDefault="00985A92" w:rsidP="0080582B">
      <w:pPr>
        <w:pStyle w:val="ListParagraph"/>
        <w:numPr>
          <w:ilvl w:val="1"/>
          <w:numId w:val="2"/>
        </w:numPr>
        <w:spacing w:after="240" w:line="360" w:lineRule="auto"/>
        <w:jc w:val="both"/>
        <w:rPr>
          <w:rFonts w:ascii="Arial" w:hAnsi="Arial" w:cs="Arial"/>
        </w:rPr>
      </w:pPr>
      <w:r w:rsidRPr="00985A92">
        <w:rPr>
          <w:rFonts w:ascii="Arial" w:hAnsi="Arial" w:cs="Arial"/>
        </w:rPr>
        <w:t xml:space="preserve">A further barrier </w:t>
      </w:r>
      <w:r w:rsidR="003928B8">
        <w:rPr>
          <w:rFonts w:ascii="Arial" w:hAnsi="Arial" w:cs="Arial"/>
        </w:rPr>
        <w:t xml:space="preserve">that was identified </w:t>
      </w:r>
      <w:r w:rsidR="003928B8" w:rsidRPr="00985A92">
        <w:rPr>
          <w:rFonts w:ascii="Arial" w:hAnsi="Arial" w:cs="Arial"/>
        </w:rPr>
        <w:t xml:space="preserve">with imported </w:t>
      </w:r>
      <w:r w:rsidR="003928B8">
        <w:rPr>
          <w:rFonts w:ascii="Arial" w:hAnsi="Arial" w:cs="Arial"/>
        </w:rPr>
        <w:t xml:space="preserve">UPR is </w:t>
      </w:r>
      <w:r w:rsidR="003928B8" w:rsidRPr="00985A92">
        <w:rPr>
          <w:rFonts w:ascii="Arial" w:hAnsi="Arial" w:cs="Arial"/>
        </w:rPr>
        <w:t>quality</w:t>
      </w:r>
      <w:r w:rsidR="003928B8">
        <w:rPr>
          <w:rFonts w:ascii="Arial" w:hAnsi="Arial" w:cs="Arial"/>
        </w:rPr>
        <w:t xml:space="preserve">-related </w:t>
      </w:r>
      <w:r w:rsidRPr="00985A92">
        <w:rPr>
          <w:rFonts w:ascii="Arial" w:hAnsi="Arial" w:cs="Arial"/>
        </w:rPr>
        <w:t>risk and challenges in returning product</w:t>
      </w:r>
      <w:r w:rsidR="00BC5D55">
        <w:rPr>
          <w:rFonts w:ascii="Arial" w:hAnsi="Arial" w:cs="Arial"/>
        </w:rPr>
        <w:t xml:space="preserve"> if not bought from a local source</w:t>
      </w:r>
      <w:r w:rsidRPr="00985A92">
        <w:rPr>
          <w:rFonts w:ascii="Arial" w:hAnsi="Arial" w:cs="Arial"/>
        </w:rPr>
        <w:t>.</w:t>
      </w:r>
      <w:r w:rsidR="003216B9">
        <w:rPr>
          <w:rFonts w:ascii="Arial" w:hAnsi="Arial" w:cs="Arial"/>
        </w:rPr>
        <w:t xml:space="preserve"> Poor quality </w:t>
      </w:r>
      <w:r w:rsidR="00B31375">
        <w:rPr>
          <w:rFonts w:ascii="Arial" w:hAnsi="Arial" w:cs="Arial"/>
        </w:rPr>
        <w:t xml:space="preserve">imported </w:t>
      </w:r>
      <w:r w:rsidR="003216B9">
        <w:rPr>
          <w:rFonts w:ascii="Arial" w:hAnsi="Arial" w:cs="Arial"/>
        </w:rPr>
        <w:t>product cannot necessarily be returned</w:t>
      </w:r>
      <w:r w:rsidR="001E69FC">
        <w:rPr>
          <w:rFonts w:ascii="Arial" w:hAnsi="Arial" w:cs="Arial"/>
        </w:rPr>
        <w:t xml:space="preserve"> whereas locally sourced product generally can</w:t>
      </w:r>
      <w:r w:rsidR="003216B9">
        <w:rPr>
          <w:rFonts w:ascii="Arial" w:hAnsi="Arial" w:cs="Arial"/>
        </w:rPr>
        <w:t xml:space="preserve">. </w:t>
      </w:r>
      <w:r w:rsidRPr="00985A92">
        <w:rPr>
          <w:rFonts w:ascii="Arial" w:hAnsi="Arial" w:cs="Arial"/>
        </w:rPr>
        <w:t>NCS recognise</w:t>
      </w:r>
      <w:r w:rsidR="00D32A80">
        <w:rPr>
          <w:rFonts w:ascii="Arial" w:hAnsi="Arial" w:cs="Arial"/>
        </w:rPr>
        <w:t>d</w:t>
      </w:r>
      <w:r w:rsidRPr="00985A92">
        <w:rPr>
          <w:rFonts w:ascii="Arial" w:hAnsi="Arial" w:cs="Arial"/>
        </w:rPr>
        <w:t xml:space="preserve"> “</w:t>
      </w:r>
      <w:r w:rsidRPr="001650B0">
        <w:rPr>
          <w:rFonts w:ascii="Arial" w:hAnsi="Arial" w:cs="Arial"/>
          <w:i/>
        </w:rPr>
        <w:t>the difficulties associated with returning defective product to the supplier if necessary</w:t>
      </w:r>
      <w:r w:rsidRPr="00985A92">
        <w:rPr>
          <w:rFonts w:ascii="Arial" w:hAnsi="Arial" w:cs="Arial"/>
        </w:rPr>
        <w:t>”</w:t>
      </w:r>
      <w:r w:rsidR="007E2FFE">
        <w:rPr>
          <w:rStyle w:val="FootnoteReference"/>
          <w:rFonts w:ascii="Arial" w:hAnsi="Arial" w:cs="Arial"/>
        </w:rPr>
        <w:footnoteReference w:id="68"/>
      </w:r>
      <w:r w:rsidRPr="00985A92">
        <w:rPr>
          <w:rFonts w:ascii="Arial" w:hAnsi="Arial" w:cs="Arial"/>
        </w:rPr>
        <w:t xml:space="preserve"> which is a problem with direct importing. This</w:t>
      </w:r>
      <w:r w:rsidR="00AC31FD">
        <w:rPr>
          <w:rFonts w:ascii="Arial" w:hAnsi="Arial" w:cs="Arial"/>
        </w:rPr>
        <w:t xml:space="preserve"> was</w:t>
      </w:r>
      <w:r w:rsidRPr="00985A92">
        <w:rPr>
          <w:rFonts w:ascii="Arial" w:hAnsi="Arial" w:cs="Arial"/>
        </w:rPr>
        <w:t xml:space="preserve"> also recognised by other witnesses</w:t>
      </w:r>
      <w:r w:rsidR="007E2FFE">
        <w:rPr>
          <w:rFonts w:ascii="Arial" w:hAnsi="Arial" w:cs="Arial"/>
        </w:rPr>
        <w:t>.</w:t>
      </w:r>
      <w:r w:rsidR="007E2FFE">
        <w:rPr>
          <w:rStyle w:val="FootnoteReference"/>
          <w:rFonts w:ascii="Arial" w:hAnsi="Arial" w:cs="Arial"/>
        </w:rPr>
        <w:footnoteReference w:id="69"/>
      </w:r>
    </w:p>
    <w:p w:rsidR="00D231FD" w:rsidRPr="00261A60" w:rsidRDefault="008A4FB3" w:rsidP="00D231FD">
      <w:pPr>
        <w:pStyle w:val="ListParagraph"/>
        <w:spacing w:after="240" w:line="360" w:lineRule="auto"/>
        <w:ind w:left="0"/>
        <w:jc w:val="both"/>
        <w:rPr>
          <w:rFonts w:ascii="Arial" w:hAnsi="Arial" w:cs="Arial"/>
          <w:i/>
        </w:rPr>
      </w:pPr>
      <w:r w:rsidRPr="00261A60">
        <w:rPr>
          <w:rFonts w:ascii="Arial" w:hAnsi="Arial" w:cs="Arial"/>
          <w:i/>
        </w:rPr>
        <w:t>Historic p</w:t>
      </w:r>
      <w:r w:rsidR="00D231FD" w:rsidRPr="00261A60">
        <w:rPr>
          <w:rFonts w:ascii="Arial" w:hAnsi="Arial" w:cs="Arial"/>
          <w:i/>
        </w:rPr>
        <w:t>rice wedge</w:t>
      </w:r>
      <w:r w:rsidR="00610EBB" w:rsidRPr="00261A60">
        <w:rPr>
          <w:rFonts w:ascii="Arial" w:hAnsi="Arial" w:cs="Arial"/>
          <w:i/>
        </w:rPr>
        <w:t xml:space="preserve"> and response from imports</w:t>
      </w:r>
    </w:p>
    <w:p w:rsidR="00684AFF" w:rsidRDefault="00194AB3" w:rsidP="0080582B">
      <w:pPr>
        <w:pStyle w:val="ListParagraph"/>
        <w:numPr>
          <w:ilvl w:val="0"/>
          <w:numId w:val="2"/>
        </w:numPr>
        <w:spacing w:after="240" w:line="360" w:lineRule="auto"/>
        <w:ind w:left="0" w:firstLine="0"/>
        <w:jc w:val="both"/>
        <w:rPr>
          <w:rFonts w:ascii="Arial" w:hAnsi="Arial" w:cs="Arial"/>
        </w:rPr>
      </w:pPr>
      <w:r>
        <w:rPr>
          <w:rFonts w:ascii="Arial" w:hAnsi="Arial" w:cs="Arial"/>
        </w:rPr>
        <w:t>W</w:t>
      </w:r>
      <w:r w:rsidR="00684AFF" w:rsidRPr="00684AFF">
        <w:rPr>
          <w:rFonts w:ascii="Arial" w:hAnsi="Arial" w:cs="Arial"/>
        </w:rPr>
        <w:t xml:space="preserve">e </w:t>
      </w:r>
      <w:r>
        <w:rPr>
          <w:rFonts w:ascii="Arial" w:hAnsi="Arial" w:cs="Arial"/>
        </w:rPr>
        <w:t>next consider</w:t>
      </w:r>
      <w:r w:rsidR="00684AFF" w:rsidRPr="00684AFF">
        <w:rPr>
          <w:rFonts w:ascii="Arial" w:hAnsi="Arial" w:cs="Arial"/>
        </w:rPr>
        <w:t xml:space="preserve"> Hodge’s evidence regarding </w:t>
      </w:r>
      <w:r w:rsidR="00730047" w:rsidRPr="00684AFF">
        <w:rPr>
          <w:rFonts w:ascii="Arial" w:hAnsi="Arial" w:cs="Arial"/>
        </w:rPr>
        <w:t xml:space="preserve">the </w:t>
      </w:r>
      <w:r>
        <w:rPr>
          <w:rFonts w:ascii="Arial" w:hAnsi="Arial" w:cs="Arial"/>
        </w:rPr>
        <w:t xml:space="preserve">past </w:t>
      </w:r>
      <w:r w:rsidR="00730047" w:rsidRPr="00684AFF">
        <w:rPr>
          <w:rFonts w:ascii="Arial" w:hAnsi="Arial" w:cs="Arial"/>
        </w:rPr>
        <w:t xml:space="preserve">responsiveness of </w:t>
      </w:r>
      <w:r w:rsidR="003B018F">
        <w:rPr>
          <w:rFonts w:ascii="Arial" w:hAnsi="Arial" w:cs="Arial"/>
        </w:rPr>
        <w:t xml:space="preserve">general purpose </w:t>
      </w:r>
      <w:r w:rsidR="00684AFF">
        <w:rPr>
          <w:rFonts w:ascii="Arial" w:hAnsi="Arial" w:cs="Arial"/>
        </w:rPr>
        <w:t xml:space="preserve">UPR </w:t>
      </w:r>
      <w:r w:rsidR="00730047" w:rsidRPr="00684AFF">
        <w:rPr>
          <w:rFonts w:ascii="Arial" w:hAnsi="Arial" w:cs="Arial"/>
        </w:rPr>
        <w:t xml:space="preserve">imports </w:t>
      </w:r>
      <w:r w:rsidR="003B018F">
        <w:rPr>
          <w:rFonts w:ascii="Arial" w:hAnsi="Arial" w:cs="Arial"/>
        </w:rPr>
        <w:t xml:space="preserve">(i.e. landed prices in South Africa) </w:t>
      </w:r>
      <w:r w:rsidR="00730047" w:rsidRPr="00684AFF">
        <w:rPr>
          <w:rFonts w:ascii="Arial" w:hAnsi="Arial" w:cs="Arial"/>
        </w:rPr>
        <w:t xml:space="preserve">to relative changes in </w:t>
      </w:r>
      <w:r w:rsidR="00684AFF">
        <w:rPr>
          <w:rFonts w:ascii="Arial" w:hAnsi="Arial" w:cs="Arial"/>
        </w:rPr>
        <w:t xml:space="preserve">local UPR </w:t>
      </w:r>
      <w:r w:rsidR="00730047" w:rsidRPr="00684AFF">
        <w:rPr>
          <w:rFonts w:ascii="Arial" w:hAnsi="Arial" w:cs="Arial"/>
        </w:rPr>
        <w:lastRenderedPageBreak/>
        <w:t>price</w:t>
      </w:r>
      <w:r w:rsidR="00684AFF">
        <w:rPr>
          <w:rFonts w:ascii="Arial" w:hAnsi="Arial" w:cs="Arial"/>
        </w:rPr>
        <w:t>s</w:t>
      </w:r>
      <w:r w:rsidR="00730047" w:rsidRPr="00684AFF">
        <w:rPr>
          <w:rFonts w:ascii="Arial" w:hAnsi="Arial" w:cs="Arial"/>
        </w:rPr>
        <w:t>. </w:t>
      </w:r>
      <w:r w:rsidR="00684AFF">
        <w:rPr>
          <w:rFonts w:ascii="Arial" w:hAnsi="Arial" w:cs="Arial"/>
        </w:rPr>
        <w:t xml:space="preserve">This evidence </w:t>
      </w:r>
      <w:r w:rsidR="003928B8">
        <w:rPr>
          <w:rFonts w:ascii="Arial" w:hAnsi="Arial" w:cs="Arial"/>
        </w:rPr>
        <w:t>is</w:t>
      </w:r>
      <w:r w:rsidR="00684AFF">
        <w:rPr>
          <w:rFonts w:ascii="Arial" w:hAnsi="Arial" w:cs="Arial"/>
        </w:rPr>
        <w:t xml:space="preserve"> of some value </w:t>
      </w:r>
      <w:r w:rsidR="003B018F">
        <w:rPr>
          <w:rFonts w:ascii="Arial" w:hAnsi="Arial" w:cs="Arial"/>
        </w:rPr>
        <w:t xml:space="preserve">both </w:t>
      </w:r>
      <w:r w:rsidR="00684AFF">
        <w:rPr>
          <w:rFonts w:ascii="Arial" w:hAnsi="Arial" w:cs="Arial"/>
        </w:rPr>
        <w:t xml:space="preserve">to market delineation and the </w:t>
      </w:r>
      <w:r w:rsidR="009F0E07">
        <w:rPr>
          <w:rFonts w:ascii="Arial" w:hAnsi="Arial" w:cs="Arial"/>
        </w:rPr>
        <w:t xml:space="preserve">potential </w:t>
      </w:r>
      <w:r w:rsidR="00684AFF">
        <w:rPr>
          <w:rFonts w:ascii="Arial" w:hAnsi="Arial" w:cs="Arial"/>
        </w:rPr>
        <w:t>competitive effects of the proposed transaction.</w:t>
      </w:r>
    </w:p>
    <w:p w:rsidR="00DB71A0" w:rsidRDefault="00684AFF" w:rsidP="0080582B">
      <w:pPr>
        <w:pStyle w:val="ListParagraph"/>
        <w:numPr>
          <w:ilvl w:val="0"/>
          <w:numId w:val="2"/>
        </w:numPr>
        <w:spacing w:after="240" w:line="360" w:lineRule="auto"/>
        <w:ind w:left="0" w:firstLine="0"/>
        <w:jc w:val="both"/>
        <w:rPr>
          <w:rFonts w:ascii="Arial" w:hAnsi="Arial" w:cs="Arial"/>
        </w:rPr>
      </w:pPr>
      <w:r>
        <w:rPr>
          <w:rFonts w:ascii="Arial" w:hAnsi="Arial" w:cs="Arial"/>
        </w:rPr>
        <w:t xml:space="preserve">Hodge </w:t>
      </w:r>
      <w:r w:rsidR="00730047" w:rsidRPr="00684AFF">
        <w:rPr>
          <w:rFonts w:ascii="Arial" w:hAnsi="Arial" w:cs="Arial"/>
        </w:rPr>
        <w:t>plott</w:t>
      </w:r>
      <w:r>
        <w:rPr>
          <w:rFonts w:ascii="Arial" w:hAnsi="Arial" w:cs="Arial"/>
        </w:rPr>
        <w:t>ed</w:t>
      </w:r>
      <w:r w:rsidR="00730047" w:rsidRPr="00684AFF">
        <w:rPr>
          <w:rFonts w:ascii="Arial" w:hAnsi="Arial" w:cs="Arial"/>
        </w:rPr>
        <w:t xml:space="preserve"> “</w:t>
      </w:r>
      <w:r w:rsidR="00730047" w:rsidRPr="00684AFF">
        <w:rPr>
          <w:rFonts w:ascii="Arial" w:hAnsi="Arial" w:cs="Arial"/>
          <w:i/>
        </w:rPr>
        <w:t>NCS’s pricing premium over imports</w:t>
      </w:r>
      <w:r w:rsidR="00730047" w:rsidRPr="00684AFF">
        <w:rPr>
          <w:rFonts w:ascii="Arial" w:hAnsi="Arial" w:cs="Arial"/>
        </w:rPr>
        <w:t>” – or put differently, the “</w:t>
      </w:r>
      <w:r w:rsidR="00730047" w:rsidRPr="00684AFF">
        <w:rPr>
          <w:rFonts w:ascii="Arial" w:hAnsi="Arial" w:cs="Arial"/>
          <w:i/>
        </w:rPr>
        <w:t>NCS price minus the landed price from Taiwan, for instance, that difference divided by the price from Taiwan</w:t>
      </w:r>
      <w:r w:rsidR="00730047" w:rsidRPr="00684AFF">
        <w:rPr>
          <w:rFonts w:ascii="Arial" w:hAnsi="Arial" w:cs="Arial"/>
        </w:rPr>
        <w:t>”</w:t>
      </w:r>
      <w:r>
        <w:rPr>
          <w:rStyle w:val="FootnoteReference"/>
          <w:rFonts w:ascii="Arial" w:hAnsi="Arial" w:cs="Arial"/>
        </w:rPr>
        <w:footnoteReference w:id="70"/>
      </w:r>
      <w:r w:rsidRPr="00684AFF">
        <w:rPr>
          <w:rFonts w:ascii="Arial" w:hAnsi="Arial" w:cs="Arial"/>
        </w:rPr>
        <w:t xml:space="preserve"> (</w:t>
      </w:r>
      <w:r>
        <w:rPr>
          <w:rFonts w:ascii="Arial" w:hAnsi="Arial" w:cs="Arial"/>
        </w:rPr>
        <w:t xml:space="preserve">see </w:t>
      </w:r>
      <w:r w:rsidRPr="00684AFF">
        <w:rPr>
          <w:rFonts w:ascii="Arial" w:hAnsi="Arial" w:cs="Arial"/>
        </w:rPr>
        <w:t>Exhibit 27)</w:t>
      </w:r>
      <w:r>
        <w:rPr>
          <w:rFonts w:ascii="Arial" w:hAnsi="Arial" w:cs="Arial"/>
        </w:rPr>
        <w:t>.</w:t>
      </w:r>
      <w:r w:rsidRPr="00684AFF">
        <w:rPr>
          <w:rFonts w:ascii="Arial" w:hAnsi="Arial" w:cs="Arial"/>
        </w:rPr>
        <w:t xml:space="preserve"> </w:t>
      </w:r>
      <w:r w:rsidR="00730047" w:rsidRPr="00684AFF">
        <w:rPr>
          <w:rFonts w:ascii="Arial" w:hAnsi="Arial" w:cs="Arial"/>
        </w:rPr>
        <w:t xml:space="preserve">Based on </w:t>
      </w:r>
      <w:r w:rsidR="003928B8">
        <w:rPr>
          <w:rFonts w:ascii="Arial" w:hAnsi="Arial" w:cs="Arial"/>
        </w:rPr>
        <w:t xml:space="preserve">import volume data, relative pricing data and this </w:t>
      </w:r>
      <w:r w:rsidR="00730047" w:rsidRPr="00684AFF">
        <w:rPr>
          <w:rFonts w:ascii="Arial" w:hAnsi="Arial" w:cs="Arial"/>
        </w:rPr>
        <w:t xml:space="preserve">graph, </w:t>
      </w:r>
      <w:r w:rsidR="00C86059">
        <w:rPr>
          <w:rFonts w:ascii="Arial" w:hAnsi="Arial" w:cs="Arial"/>
        </w:rPr>
        <w:t xml:space="preserve">Hodge </w:t>
      </w:r>
      <w:r w:rsidR="00730047" w:rsidRPr="00684AFF">
        <w:rPr>
          <w:rFonts w:ascii="Arial" w:hAnsi="Arial" w:cs="Arial"/>
        </w:rPr>
        <w:t xml:space="preserve">gave evidence that, notwithstanding the premium in domestic </w:t>
      </w:r>
      <w:r w:rsidR="00DB71A0">
        <w:rPr>
          <w:rFonts w:ascii="Arial" w:hAnsi="Arial" w:cs="Arial"/>
        </w:rPr>
        <w:t xml:space="preserve">UPR </w:t>
      </w:r>
      <w:r w:rsidR="00730047" w:rsidRPr="00684AFF">
        <w:rPr>
          <w:rFonts w:ascii="Arial" w:hAnsi="Arial" w:cs="Arial"/>
        </w:rPr>
        <w:t xml:space="preserve">prices over landed </w:t>
      </w:r>
      <w:r w:rsidR="00DB71A0">
        <w:rPr>
          <w:rFonts w:ascii="Arial" w:hAnsi="Arial" w:cs="Arial"/>
        </w:rPr>
        <w:t xml:space="preserve">UPR </w:t>
      </w:r>
      <w:r w:rsidR="00730047" w:rsidRPr="00684AFF">
        <w:rPr>
          <w:rFonts w:ascii="Arial" w:hAnsi="Arial" w:cs="Arial"/>
        </w:rPr>
        <w:t>imports in 2010 and 2011, there was not a significant influx of UPR imports into South Africa.</w:t>
      </w:r>
      <w:r w:rsidR="00730047">
        <w:rPr>
          <w:rStyle w:val="FootnoteReference"/>
          <w:rFonts w:ascii="Arial" w:hAnsi="Arial" w:cs="Arial"/>
        </w:rPr>
        <w:footnoteReference w:id="71"/>
      </w:r>
      <w:r w:rsidR="00730047" w:rsidRPr="00684AFF">
        <w:rPr>
          <w:rFonts w:ascii="Arial" w:hAnsi="Arial" w:cs="Arial"/>
        </w:rPr>
        <w:t xml:space="preserve">  </w:t>
      </w:r>
      <w:r w:rsidR="00314669" w:rsidRPr="00C61903">
        <w:rPr>
          <w:rFonts w:ascii="Arial" w:hAnsi="Arial" w:cs="Arial"/>
        </w:rPr>
        <w:t>Currently</w:t>
      </w:r>
      <w:r w:rsidR="00890649">
        <w:rPr>
          <w:rFonts w:ascii="Arial" w:hAnsi="Arial" w:cs="Arial"/>
        </w:rPr>
        <w:t xml:space="preserve"> </w:t>
      </w:r>
      <w:r w:rsidR="00314669" w:rsidRPr="00C61903">
        <w:rPr>
          <w:rFonts w:ascii="Arial" w:hAnsi="Arial" w:cs="Arial"/>
        </w:rPr>
        <w:t xml:space="preserve">the landed price of </w:t>
      </w:r>
      <w:r w:rsidR="00314669">
        <w:rPr>
          <w:rFonts w:ascii="Arial" w:hAnsi="Arial" w:cs="Arial"/>
        </w:rPr>
        <w:t xml:space="preserve">UPR </w:t>
      </w:r>
      <w:r w:rsidR="00314669" w:rsidRPr="00C61903">
        <w:rPr>
          <w:rFonts w:ascii="Arial" w:hAnsi="Arial" w:cs="Arial"/>
        </w:rPr>
        <w:t xml:space="preserve">imports from the major sources of imports is priced relatively close to the average domestic general purpose resin price as typified by the </w:t>
      </w:r>
      <w:r w:rsidR="00DB71A0">
        <w:rPr>
          <w:rFonts w:ascii="Arial" w:hAnsi="Arial" w:cs="Arial"/>
        </w:rPr>
        <w:t xml:space="preserve">UPR </w:t>
      </w:r>
      <w:r w:rsidR="00314669" w:rsidRPr="00C61903">
        <w:rPr>
          <w:rFonts w:ascii="Arial" w:hAnsi="Arial" w:cs="Arial"/>
        </w:rPr>
        <w:t xml:space="preserve">prices of NCS. This is the closest they have been and historically landed prices have been significantly lower than domestic prices. </w:t>
      </w:r>
    </w:p>
    <w:p w:rsidR="00730047" w:rsidRPr="00684AFF" w:rsidRDefault="00314669" w:rsidP="0080582B">
      <w:pPr>
        <w:pStyle w:val="ListParagraph"/>
        <w:numPr>
          <w:ilvl w:val="0"/>
          <w:numId w:val="2"/>
        </w:numPr>
        <w:spacing w:after="240" w:line="360" w:lineRule="auto"/>
        <w:ind w:left="0" w:firstLine="0"/>
        <w:jc w:val="both"/>
        <w:rPr>
          <w:rFonts w:ascii="Arial" w:hAnsi="Arial" w:cs="Arial"/>
        </w:rPr>
      </w:pPr>
      <w:r>
        <w:rPr>
          <w:rFonts w:ascii="Arial" w:hAnsi="Arial" w:cs="Arial"/>
        </w:rPr>
        <w:t>According to the Commission</w:t>
      </w:r>
      <w:r w:rsidR="00DB71A0">
        <w:rPr>
          <w:rFonts w:ascii="Arial" w:hAnsi="Arial" w:cs="Arial"/>
        </w:rPr>
        <w:t>,</w:t>
      </w:r>
      <w:r>
        <w:rPr>
          <w:rFonts w:ascii="Arial" w:hAnsi="Arial" w:cs="Arial"/>
        </w:rPr>
        <w:t xml:space="preserve"> t</w:t>
      </w:r>
      <w:r w:rsidRPr="00C61903">
        <w:rPr>
          <w:rFonts w:ascii="Arial" w:hAnsi="Arial" w:cs="Arial"/>
        </w:rPr>
        <w:t>his provides an opportunity to understand how imports respond to a 5</w:t>
      </w:r>
      <w:r w:rsidR="003928B8">
        <w:rPr>
          <w:rFonts w:ascii="Arial" w:hAnsi="Arial" w:cs="Arial"/>
        </w:rPr>
        <w:t xml:space="preserve">% to </w:t>
      </w:r>
      <w:r w:rsidRPr="00C61903">
        <w:rPr>
          <w:rFonts w:ascii="Arial" w:hAnsi="Arial" w:cs="Arial"/>
        </w:rPr>
        <w:t xml:space="preserve">10% greater price wedge between domestic and </w:t>
      </w:r>
      <w:r w:rsidR="00DB71A0">
        <w:rPr>
          <w:rFonts w:ascii="Arial" w:hAnsi="Arial" w:cs="Arial"/>
        </w:rPr>
        <w:t xml:space="preserve">landed UPR </w:t>
      </w:r>
      <w:r w:rsidR="00DB71A0" w:rsidRPr="00C61903">
        <w:rPr>
          <w:rFonts w:ascii="Arial" w:hAnsi="Arial" w:cs="Arial"/>
        </w:rPr>
        <w:t xml:space="preserve">import </w:t>
      </w:r>
      <w:r w:rsidRPr="00C61903">
        <w:rPr>
          <w:rFonts w:ascii="Arial" w:hAnsi="Arial" w:cs="Arial"/>
        </w:rPr>
        <w:t>prices by looking at situations where the price wedge w</w:t>
      </w:r>
      <w:r>
        <w:rPr>
          <w:rFonts w:ascii="Arial" w:hAnsi="Arial" w:cs="Arial"/>
        </w:rPr>
        <w:t xml:space="preserve">as higher than it is currently. </w:t>
      </w:r>
      <w:r w:rsidR="003928B8">
        <w:rPr>
          <w:rFonts w:ascii="Arial" w:hAnsi="Arial" w:cs="Arial"/>
        </w:rPr>
        <w:t xml:space="preserve">We note that </w:t>
      </w:r>
      <w:r>
        <w:rPr>
          <w:rFonts w:ascii="Arial" w:hAnsi="Arial" w:cs="Arial"/>
        </w:rPr>
        <w:t>Hodge</w:t>
      </w:r>
      <w:r w:rsidR="008A261B">
        <w:rPr>
          <w:rFonts w:ascii="Arial" w:hAnsi="Arial" w:cs="Arial"/>
        </w:rPr>
        <w:t xml:space="preserve">’s economic analysis </w:t>
      </w:r>
      <w:r w:rsidR="00730047" w:rsidRPr="00684AFF">
        <w:rPr>
          <w:rFonts w:ascii="Arial" w:hAnsi="Arial" w:cs="Arial"/>
        </w:rPr>
        <w:t xml:space="preserve">was however criticised by the merging parties for not controlling for other factors that might have affected demand, supply and the responsiveness of imports differently in </w:t>
      </w:r>
      <w:r>
        <w:rPr>
          <w:rFonts w:ascii="Arial" w:hAnsi="Arial" w:cs="Arial"/>
        </w:rPr>
        <w:t>this period</w:t>
      </w:r>
      <w:r w:rsidR="00730047" w:rsidRPr="00684AFF">
        <w:rPr>
          <w:rFonts w:ascii="Arial" w:hAnsi="Arial" w:cs="Arial"/>
        </w:rPr>
        <w:t>. </w:t>
      </w:r>
      <w:r w:rsidR="00500623" w:rsidRPr="00500623">
        <w:rPr>
          <w:rFonts w:ascii="Arial" w:hAnsi="Arial" w:cs="Arial"/>
        </w:rPr>
        <w:t>The actual data used by Hodge were however not dispute</w:t>
      </w:r>
      <w:r w:rsidR="001E69FC">
        <w:rPr>
          <w:rFonts w:ascii="Arial" w:hAnsi="Arial" w:cs="Arial"/>
        </w:rPr>
        <w:t>d</w:t>
      </w:r>
      <w:r w:rsidR="00500623" w:rsidRPr="00500623">
        <w:rPr>
          <w:rFonts w:ascii="Arial" w:hAnsi="Arial" w:cs="Arial"/>
        </w:rPr>
        <w:t>.</w:t>
      </w:r>
      <w:r w:rsidR="002006AC">
        <w:rPr>
          <w:rFonts w:ascii="Arial" w:hAnsi="Arial" w:cs="Arial"/>
        </w:rPr>
        <w:t xml:space="preserve"> </w:t>
      </w:r>
      <w:r w:rsidR="00730047" w:rsidRPr="00684AFF">
        <w:rPr>
          <w:rFonts w:ascii="Arial" w:hAnsi="Arial" w:cs="Arial"/>
        </w:rPr>
        <w:t xml:space="preserve"> </w:t>
      </w:r>
    </w:p>
    <w:p w:rsidR="006E3D70" w:rsidRDefault="00314669" w:rsidP="0080582B">
      <w:pPr>
        <w:pStyle w:val="ListParagraph"/>
        <w:numPr>
          <w:ilvl w:val="0"/>
          <w:numId w:val="2"/>
        </w:numPr>
        <w:spacing w:after="240" w:line="360" w:lineRule="auto"/>
        <w:ind w:left="0" w:firstLine="0"/>
        <w:jc w:val="both"/>
        <w:rPr>
          <w:rFonts w:ascii="Arial" w:hAnsi="Arial" w:cs="Arial"/>
        </w:rPr>
      </w:pPr>
      <w:r>
        <w:rPr>
          <w:rFonts w:ascii="Arial" w:hAnsi="Arial" w:cs="Arial"/>
        </w:rPr>
        <w:t>Hodge explained that a</w:t>
      </w:r>
      <w:r w:rsidR="00716C80" w:rsidRPr="00C61903">
        <w:rPr>
          <w:rFonts w:ascii="Arial" w:hAnsi="Arial" w:cs="Arial"/>
        </w:rPr>
        <w:t xml:space="preserve">cross 2013, on average the import </w:t>
      </w:r>
      <w:r>
        <w:rPr>
          <w:rFonts w:ascii="Arial" w:hAnsi="Arial" w:cs="Arial"/>
        </w:rPr>
        <w:t xml:space="preserve">UPR </w:t>
      </w:r>
      <w:r w:rsidR="00716C80" w:rsidRPr="00C61903">
        <w:rPr>
          <w:rFonts w:ascii="Arial" w:hAnsi="Arial" w:cs="Arial"/>
        </w:rPr>
        <w:t>prices from the major supplying countries were 6% cheaper than domestic prices</w:t>
      </w:r>
      <w:r w:rsidR="001E69FC">
        <w:rPr>
          <w:rStyle w:val="FootnoteReference"/>
          <w:rFonts w:ascii="Arial" w:hAnsi="Arial" w:cs="Arial"/>
        </w:rPr>
        <w:footnoteReference w:id="72"/>
      </w:r>
      <w:r w:rsidR="00716C80" w:rsidRPr="00C61903">
        <w:rPr>
          <w:rFonts w:ascii="Arial" w:hAnsi="Arial" w:cs="Arial"/>
        </w:rPr>
        <w:t xml:space="preserve"> and imports constituted 2,492 tons.</w:t>
      </w:r>
      <w:r w:rsidR="00716C80">
        <w:rPr>
          <w:rStyle w:val="FootnoteReference"/>
          <w:rFonts w:ascii="Arial" w:hAnsi="Arial" w:cs="Arial"/>
        </w:rPr>
        <w:footnoteReference w:id="73"/>
      </w:r>
      <w:r w:rsidR="00716C80" w:rsidRPr="00C61903">
        <w:rPr>
          <w:rFonts w:ascii="Arial" w:hAnsi="Arial" w:cs="Arial"/>
        </w:rPr>
        <w:t xml:space="preserve"> In 2012, </w:t>
      </w:r>
      <w:r>
        <w:rPr>
          <w:rFonts w:ascii="Arial" w:hAnsi="Arial" w:cs="Arial"/>
        </w:rPr>
        <w:t xml:space="preserve">UPR </w:t>
      </w:r>
      <w:r w:rsidR="001E69FC" w:rsidRPr="00C61903">
        <w:rPr>
          <w:rFonts w:ascii="Arial" w:hAnsi="Arial" w:cs="Arial"/>
        </w:rPr>
        <w:t xml:space="preserve">import </w:t>
      </w:r>
      <w:r w:rsidR="00716C80" w:rsidRPr="00C61903">
        <w:rPr>
          <w:rFonts w:ascii="Arial" w:hAnsi="Arial" w:cs="Arial"/>
        </w:rPr>
        <w:t>prices were on average 12% lower than domestic prices and volumes were roughly the same at 2,434</w:t>
      </w:r>
      <w:r w:rsidR="005B11AD" w:rsidRPr="00C61903">
        <w:rPr>
          <w:rFonts w:ascii="Arial" w:hAnsi="Arial" w:cs="Arial"/>
        </w:rPr>
        <w:t xml:space="preserve"> tons</w:t>
      </w:r>
      <w:r w:rsidR="00716C80" w:rsidRPr="00C61903">
        <w:rPr>
          <w:rFonts w:ascii="Arial" w:hAnsi="Arial" w:cs="Arial"/>
        </w:rPr>
        <w:t xml:space="preserve">. In 2011, average import </w:t>
      </w:r>
      <w:r>
        <w:rPr>
          <w:rFonts w:ascii="Arial" w:hAnsi="Arial" w:cs="Arial"/>
        </w:rPr>
        <w:t xml:space="preserve">UPR </w:t>
      </w:r>
      <w:r w:rsidR="00716C80" w:rsidRPr="00C61903">
        <w:rPr>
          <w:rFonts w:ascii="Arial" w:hAnsi="Arial" w:cs="Arial"/>
        </w:rPr>
        <w:t xml:space="preserve">prices were on average 20% lower than domestic </w:t>
      </w:r>
      <w:r w:rsidR="00DB71A0">
        <w:rPr>
          <w:rFonts w:ascii="Arial" w:hAnsi="Arial" w:cs="Arial"/>
        </w:rPr>
        <w:t xml:space="preserve">UPR </w:t>
      </w:r>
      <w:r w:rsidR="00716C80" w:rsidRPr="00C61903">
        <w:rPr>
          <w:rFonts w:ascii="Arial" w:hAnsi="Arial" w:cs="Arial"/>
        </w:rPr>
        <w:t xml:space="preserve">prices </w:t>
      </w:r>
      <w:r w:rsidR="001E69FC">
        <w:rPr>
          <w:rFonts w:ascii="Arial" w:hAnsi="Arial" w:cs="Arial"/>
        </w:rPr>
        <w:t>yet</w:t>
      </w:r>
      <w:r w:rsidR="00716C80" w:rsidRPr="00C61903">
        <w:rPr>
          <w:rFonts w:ascii="Arial" w:hAnsi="Arial" w:cs="Arial"/>
        </w:rPr>
        <w:t xml:space="preserve"> imports were also similar to 2013 at 2,334</w:t>
      </w:r>
      <w:r w:rsidR="005B11AD" w:rsidRPr="00C61903">
        <w:rPr>
          <w:rFonts w:ascii="Arial" w:hAnsi="Arial" w:cs="Arial"/>
        </w:rPr>
        <w:t xml:space="preserve"> tons</w:t>
      </w:r>
      <w:r w:rsidR="00716C80" w:rsidRPr="00C61903">
        <w:rPr>
          <w:rFonts w:ascii="Arial" w:hAnsi="Arial" w:cs="Arial"/>
        </w:rPr>
        <w:t xml:space="preserve">. Therefore, </w:t>
      </w:r>
      <w:r>
        <w:rPr>
          <w:rFonts w:ascii="Arial" w:hAnsi="Arial" w:cs="Arial"/>
        </w:rPr>
        <w:t xml:space="preserve">the Commission argued that </w:t>
      </w:r>
      <w:r w:rsidR="00716C80" w:rsidRPr="00C61903">
        <w:rPr>
          <w:rFonts w:ascii="Arial" w:hAnsi="Arial" w:cs="Arial"/>
        </w:rPr>
        <w:t xml:space="preserve">in considering whether </w:t>
      </w:r>
      <w:r>
        <w:rPr>
          <w:rFonts w:ascii="Arial" w:hAnsi="Arial" w:cs="Arial"/>
        </w:rPr>
        <w:t xml:space="preserve">UPR </w:t>
      </w:r>
      <w:r w:rsidR="00716C80" w:rsidRPr="00C61903">
        <w:rPr>
          <w:rFonts w:ascii="Arial" w:hAnsi="Arial" w:cs="Arial"/>
        </w:rPr>
        <w:t>imports</w:t>
      </w:r>
      <w:r>
        <w:rPr>
          <w:rFonts w:ascii="Arial" w:hAnsi="Arial" w:cs="Arial"/>
        </w:rPr>
        <w:t xml:space="preserve"> would change in response to a hypothetical </w:t>
      </w:r>
      <w:r w:rsidR="00716C80" w:rsidRPr="00C61903">
        <w:rPr>
          <w:rFonts w:ascii="Arial" w:hAnsi="Arial" w:cs="Arial"/>
        </w:rPr>
        <w:t xml:space="preserve">increase in domestic </w:t>
      </w:r>
      <w:r w:rsidR="00DB71A0">
        <w:rPr>
          <w:rFonts w:ascii="Arial" w:hAnsi="Arial" w:cs="Arial"/>
        </w:rPr>
        <w:t xml:space="preserve">UPR </w:t>
      </w:r>
      <w:r w:rsidR="00716C80" w:rsidRPr="00C61903">
        <w:rPr>
          <w:rFonts w:ascii="Arial" w:hAnsi="Arial" w:cs="Arial"/>
        </w:rPr>
        <w:t>prices of 5</w:t>
      </w:r>
      <w:r w:rsidR="003928B8">
        <w:rPr>
          <w:rFonts w:ascii="Arial" w:hAnsi="Arial" w:cs="Arial"/>
        </w:rPr>
        <w:t xml:space="preserve">% to </w:t>
      </w:r>
      <w:r w:rsidR="00716C80" w:rsidRPr="00C61903">
        <w:rPr>
          <w:rFonts w:ascii="Arial" w:hAnsi="Arial" w:cs="Arial"/>
        </w:rPr>
        <w:t>10%</w:t>
      </w:r>
      <w:r>
        <w:rPr>
          <w:rFonts w:ascii="Arial" w:hAnsi="Arial" w:cs="Arial"/>
        </w:rPr>
        <w:t xml:space="preserve"> post-merger</w:t>
      </w:r>
      <w:r w:rsidR="00716C80" w:rsidRPr="00C61903">
        <w:rPr>
          <w:rFonts w:ascii="Arial" w:hAnsi="Arial" w:cs="Arial"/>
        </w:rPr>
        <w:t xml:space="preserve">, </w:t>
      </w:r>
      <w:r w:rsidR="0068246F" w:rsidRPr="00C61903">
        <w:rPr>
          <w:rFonts w:ascii="Arial" w:hAnsi="Arial" w:cs="Arial"/>
        </w:rPr>
        <w:t xml:space="preserve">the </w:t>
      </w:r>
      <w:r w:rsidR="00716C80" w:rsidRPr="00C61903">
        <w:rPr>
          <w:rFonts w:ascii="Arial" w:hAnsi="Arial" w:cs="Arial"/>
        </w:rPr>
        <w:t>import volumes in 2012 and 2011 in comparison to 2013</w:t>
      </w:r>
      <w:r w:rsidR="0068246F" w:rsidRPr="00C61903">
        <w:rPr>
          <w:rFonts w:ascii="Arial" w:hAnsi="Arial" w:cs="Arial"/>
        </w:rPr>
        <w:t>, given the</w:t>
      </w:r>
      <w:r w:rsidR="00716C80" w:rsidRPr="00C61903">
        <w:rPr>
          <w:rFonts w:ascii="Arial" w:hAnsi="Arial" w:cs="Arial"/>
        </w:rPr>
        <w:t xml:space="preserve"> price wedges </w:t>
      </w:r>
      <w:r w:rsidR="0068246F" w:rsidRPr="00C61903">
        <w:rPr>
          <w:rFonts w:ascii="Arial" w:hAnsi="Arial" w:cs="Arial"/>
        </w:rPr>
        <w:t>of 6</w:t>
      </w:r>
      <w:r w:rsidR="001E69FC">
        <w:rPr>
          <w:rFonts w:ascii="Arial" w:hAnsi="Arial" w:cs="Arial"/>
        </w:rPr>
        <w:t xml:space="preserve">% to </w:t>
      </w:r>
      <w:r w:rsidR="0068246F" w:rsidRPr="00C61903">
        <w:rPr>
          <w:rFonts w:ascii="Arial" w:hAnsi="Arial" w:cs="Arial"/>
        </w:rPr>
        <w:t xml:space="preserve">14%, gives some indication of the </w:t>
      </w:r>
      <w:r w:rsidR="006E3D70">
        <w:rPr>
          <w:rFonts w:ascii="Arial" w:hAnsi="Arial" w:cs="Arial"/>
        </w:rPr>
        <w:t xml:space="preserve">past </w:t>
      </w:r>
      <w:r w:rsidR="0068246F" w:rsidRPr="00C61903">
        <w:rPr>
          <w:rFonts w:ascii="Arial" w:hAnsi="Arial" w:cs="Arial"/>
        </w:rPr>
        <w:t xml:space="preserve">responsiveness of </w:t>
      </w:r>
      <w:r w:rsidR="006E3D70">
        <w:rPr>
          <w:rFonts w:ascii="Arial" w:hAnsi="Arial" w:cs="Arial"/>
        </w:rPr>
        <w:t xml:space="preserve">UPR </w:t>
      </w:r>
      <w:r w:rsidR="0068246F" w:rsidRPr="00C61903">
        <w:rPr>
          <w:rFonts w:ascii="Arial" w:hAnsi="Arial" w:cs="Arial"/>
        </w:rPr>
        <w:t>imports</w:t>
      </w:r>
      <w:r w:rsidR="006E3D70">
        <w:rPr>
          <w:rFonts w:ascii="Arial" w:hAnsi="Arial" w:cs="Arial"/>
        </w:rPr>
        <w:t xml:space="preserve"> to higher local prices</w:t>
      </w:r>
      <w:r w:rsidR="00716C80" w:rsidRPr="00C61903">
        <w:rPr>
          <w:rFonts w:ascii="Arial" w:hAnsi="Arial" w:cs="Arial"/>
        </w:rPr>
        <w:t xml:space="preserve">. </w:t>
      </w:r>
    </w:p>
    <w:p w:rsidR="006E3D70" w:rsidRDefault="006E3D70" w:rsidP="0080582B">
      <w:pPr>
        <w:pStyle w:val="ListParagraph"/>
        <w:numPr>
          <w:ilvl w:val="0"/>
          <w:numId w:val="2"/>
        </w:numPr>
        <w:spacing w:after="240" w:line="360" w:lineRule="auto"/>
        <w:ind w:left="0" w:firstLine="0"/>
        <w:jc w:val="both"/>
        <w:rPr>
          <w:rFonts w:ascii="Arial" w:hAnsi="Arial" w:cs="Arial"/>
        </w:rPr>
      </w:pPr>
      <w:r>
        <w:rPr>
          <w:rFonts w:ascii="Arial" w:hAnsi="Arial" w:cs="Arial"/>
        </w:rPr>
        <w:lastRenderedPageBreak/>
        <w:t xml:space="preserve">The Commission </w:t>
      </w:r>
      <w:r w:rsidR="001A5477">
        <w:rPr>
          <w:rFonts w:ascii="Arial" w:hAnsi="Arial" w:cs="Arial"/>
        </w:rPr>
        <w:t>also</w:t>
      </w:r>
      <w:r>
        <w:rPr>
          <w:rFonts w:ascii="Arial" w:hAnsi="Arial" w:cs="Arial"/>
        </w:rPr>
        <w:t xml:space="preserve"> argued that i</w:t>
      </w:r>
      <w:r w:rsidRPr="00C61903">
        <w:rPr>
          <w:rFonts w:ascii="Arial" w:hAnsi="Arial" w:cs="Arial"/>
        </w:rPr>
        <w:t xml:space="preserve">n the earlier years </w:t>
      </w:r>
      <w:r>
        <w:rPr>
          <w:rFonts w:ascii="Arial" w:hAnsi="Arial" w:cs="Arial"/>
        </w:rPr>
        <w:t xml:space="preserve">UPR </w:t>
      </w:r>
      <w:r w:rsidRPr="00C61903">
        <w:rPr>
          <w:rFonts w:ascii="Arial" w:hAnsi="Arial" w:cs="Arial"/>
        </w:rPr>
        <w:t xml:space="preserve">imports were significantly cheaper than domestic UPR prices </w:t>
      </w:r>
      <w:r w:rsidR="001E69FC">
        <w:rPr>
          <w:rFonts w:ascii="Arial" w:hAnsi="Arial" w:cs="Arial"/>
        </w:rPr>
        <w:t>yet</w:t>
      </w:r>
      <w:r w:rsidRPr="00C61903">
        <w:rPr>
          <w:rFonts w:ascii="Arial" w:hAnsi="Arial" w:cs="Arial"/>
        </w:rPr>
        <w:t xml:space="preserve"> an insufficient change in imports occurred. Imports in 2006 and 2007 </w:t>
      </w:r>
      <w:r w:rsidR="001E69FC">
        <w:rPr>
          <w:rFonts w:ascii="Arial" w:hAnsi="Arial" w:cs="Arial"/>
        </w:rPr>
        <w:t>were</w:t>
      </w:r>
      <w:r w:rsidRPr="00C61903">
        <w:rPr>
          <w:rFonts w:ascii="Arial" w:hAnsi="Arial" w:cs="Arial"/>
        </w:rPr>
        <w:t xml:space="preserve"> of similar volumes to current import levels although in those years import</w:t>
      </w:r>
      <w:r>
        <w:rPr>
          <w:rFonts w:ascii="Arial" w:hAnsi="Arial" w:cs="Arial"/>
        </w:rPr>
        <w:t xml:space="preserve"> prices</w:t>
      </w:r>
      <w:r w:rsidRPr="00C61903">
        <w:rPr>
          <w:rFonts w:ascii="Arial" w:hAnsi="Arial" w:cs="Arial"/>
        </w:rPr>
        <w:t xml:space="preserve"> were roughly </w:t>
      </w:r>
      <w:r w:rsidR="00354FEF">
        <w:rPr>
          <w:rFonts w:ascii="Arial" w:hAnsi="Arial" w:cs="Arial"/>
        </w:rPr>
        <w:t xml:space="preserve">27% to </w:t>
      </w:r>
      <w:r w:rsidRPr="00C61903">
        <w:rPr>
          <w:rFonts w:ascii="Arial" w:hAnsi="Arial" w:cs="Arial"/>
        </w:rPr>
        <w:t xml:space="preserve">28% lower than domestic </w:t>
      </w:r>
      <w:r>
        <w:rPr>
          <w:rFonts w:ascii="Arial" w:hAnsi="Arial" w:cs="Arial"/>
        </w:rPr>
        <w:t xml:space="preserve">UPR </w:t>
      </w:r>
      <w:r w:rsidRPr="00C61903">
        <w:rPr>
          <w:rFonts w:ascii="Arial" w:hAnsi="Arial" w:cs="Arial"/>
        </w:rPr>
        <w:t xml:space="preserve">prices. Import volumes were higher in 2009 and 2010 by some 740 and 1400 tons respectively (or only 3% and 5.6% of total supply by domestic producers respectively). However, in these years </w:t>
      </w:r>
      <w:r w:rsidR="00D53182">
        <w:rPr>
          <w:rFonts w:ascii="Arial" w:hAnsi="Arial" w:cs="Arial"/>
        </w:rPr>
        <w:t xml:space="preserve">landed </w:t>
      </w:r>
      <w:r w:rsidRPr="00C61903">
        <w:rPr>
          <w:rFonts w:ascii="Arial" w:hAnsi="Arial" w:cs="Arial"/>
        </w:rPr>
        <w:t>import</w:t>
      </w:r>
      <w:r w:rsidR="00D53182">
        <w:rPr>
          <w:rFonts w:ascii="Arial" w:hAnsi="Arial" w:cs="Arial"/>
        </w:rPr>
        <w:t xml:space="preserve"> prices</w:t>
      </w:r>
      <w:r w:rsidRPr="00C61903">
        <w:rPr>
          <w:rFonts w:ascii="Arial" w:hAnsi="Arial" w:cs="Arial"/>
        </w:rPr>
        <w:t xml:space="preserve"> were lower than domestic prices by a remarkable 33</w:t>
      </w:r>
      <w:r w:rsidR="00354FEF">
        <w:rPr>
          <w:rFonts w:ascii="Arial" w:hAnsi="Arial" w:cs="Arial"/>
        </w:rPr>
        <w:t>% to</w:t>
      </w:r>
      <w:r w:rsidR="00DB71A0">
        <w:rPr>
          <w:rFonts w:ascii="Arial" w:hAnsi="Arial" w:cs="Arial"/>
        </w:rPr>
        <w:t xml:space="preserve"> </w:t>
      </w:r>
      <w:r w:rsidRPr="00C61903">
        <w:rPr>
          <w:rFonts w:ascii="Arial" w:hAnsi="Arial" w:cs="Arial"/>
        </w:rPr>
        <w:t xml:space="preserve">36%. Even at these high </w:t>
      </w:r>
      <w:r w:rsidR="00DB71A0">
        <w:rPr>
          <w:rFonts w:ascii="Arial" w:hAnsi="Arial" w:cs="Arial"/>
        </w:rPr>
        <w:t xml:space="preserve">relative </w:t>
      </w:r>
      <w:r w:rsidRPr="00C61903">
        <w:rPr>
          <w:rFonts w:ascii="Arial" w:hAnsi="Arial" w:cs="Arial"/>
        </w:rPr>
        <w:t xml:space="preserve">price differences, which are equivalent to a 30% price increase on current domestic prices relative to imports, the response from </w:t>
      </w:r>
      <w:r>
        <w:rPr>
          <w:rFonts w:ascii="Arial" w:hAnsi="Arial" w:cs="Arial"/>
        </w:rPr>
        <w:t xml:space="preserve">UPR </w:t>
      </w:r>
      <w:r w:rsidRPr="00C61903">
        <w:rPr>
          <w:rFonts w:ascii="Arial" w:hAnsi="Arial" w:cs="Arial"/>
        </w:rPr>
        <w:t xml:space="preserve">imports </w:t>
      </w:r>
      <w:r w:rsidR="00DB71A0">
        <w:rPr>
          <w:rFonts w:ascii="Arial" w:hAnsi="Arial" w:cs="Arial"/>
        </w:rPr>
        <w:t>is</w:t>
      </w:r>
      <w:r w:rsidRPr="00C61903">
        <w:rPr>
          <w:rFonts w:ascii="Arial" w:hAnsi="Arial" w:cs="Arial"/>
        </w:rPr>
        <w:t xml:space="preserve"> still such a small proportion of domestic output that it would easily be profitable</w:t>
      </w:r>
      <w:r w:rsidR="00D45ED5">
        <w:rPr>
          <w:rFonts w:ascii="Arial" w:hAnsi="Arial" w:cs="Arial"/>
        </w:rPr>
        <w:t xml:space="preserve"> to increase local prices by a small but significant amount</w:t>
      </w:r>
      <w:r w:rsidRPr="00C61903">
        <w:rPr>
          <w:rFonts w:ascii="Arial" w:hAnsi="Arial" w:cs="Arial"/>
        </w:rPr>
        <w:t>. Hodge</w:t>
      </w:r>
      <w:r>
        <w:rPr>
          <w:rFonts w:ascii="Arial" w:hAnsi="Arial" w:cs="Arial"/>
        </w:rPr>
        <w:t xml:space="preserve"> testified that </w:t>
      </w:r>
      <w:r w:rsidRPr="00C61903">
        <w:rPr>
          <w:rFonts w:ascii="Arial" w:hAnsi="Arial" w:cs="Arial"/>
        </w:rPr>
        <w:t xml:space="preserve">for an industry with these margin levels, critical loss analysis </w:t>
      </w:r>
      <w:r>
        <w:rPr>
          <w:rFonts w:ascii="Arial" w:hAnsi="Arial" w:cs="Arial"/>
        </w:rPr>
        <w:t>shows</w:t>
      </w:r>
      <w:r w:rsidRPr="00C61903">
        <w:rPr>
          <w:rFonts w:ascii="Arial" w:hAnsi="Arial" w:cs="Arial"/>
        </w:rPr>
        <w:t xml:space="preserve"> that domestic producers would need to lose more than 20</w:t>
      </w:r>
      <w:r w:rsidR="001E69FC">
        <w:rPr>
          <w:rFonts w:ascii="Arial" w:hAnsi="Arial" w:cs="Arial"/>
        </w:rPr>
        <w:t xml:space="preserve">% to </w:t>
      </w:r>
      <w:r w:rsidRPr="00C61903">
        <w:rPr>
          <w:rFonts w:ascii="Arial" w:hAnsi="Arial" w:cs="Arial"/>
        </w:rPr>
        <w:t>30% of their customers on a mere 5</w:t>
      </w:r>
      <w:r w:rsidR="003928B8">
        <w:rPr>
          <w:rFonts w:ascii="Arial" w:hAnsi="Arial" w:cs="Arial"/>
        </w:rPr>
        <w:t xml:space="preserve">% to </w:t>
      </w:r>
      <w:r w:rsidRPr="00C61903">
        <w:rPr>
          <w:rFonts w:ascii="Arial" w:hAnsi="Arial" w:cs="Arial"/>
        </w:rPr>
        <w:t xml:space="preserve">10% price rise for it to be unprofitable, </w:t>
      </w:r>
      <w:r w:rsidR="001A5477">
        <w:rPr>
          <w:rFonts w:ascii="Arial" w:hAnsi="Arial" w:cs="Arial"/>
        </w:rPr>
        <w:t xml:space="preserve">and therefore </w:t>
      </w:r>
      <w:r w:rsidRPr="00C61903">
        <w:rPr>
          <w:rFonts w:ascii="Arial" w:hAnsi="Arial" w:cs="Arial"/>
        </w:rPr>
        <w:t>a much smaller loss on a significantly greater price rise is clear evidence that imports cannot constrain domestic price increases.</w:t>
      </w:r>
    </w:p>
    <w:p w:rsidR="00716C80" w:rsidRDefault="002006AC" w:rsidP="0080582B">
      <w:pPr>
        <w:pStyle w:val="ListParagraph"/>
        <w:numPr>
          <w:ilvl w:val="0"/>
          <w:numId w:val="2"/>
        </w:numPr>
        <w:spacing w:after="240" w:line="360" w:lineRule="auto"/>
        <w:ind w:left="0" w:firstLine="0"/>
        <w:jc w:val="both"/>
        <w:rPr>
          <w:rFonts w:ascii="Arial" w:hAnsi="Arial" w:cs="Arial"/>
        </w:rPr>
      </w:pPr>
      <w:r>
        <w:rPr>
          <w:rFonts w:ascii="Arial" w:hAnsi="Arial" w:cs="Arial"/>
        </w:rPr>
        <w:t>T</w:t>
      </w:r>
      <w:r w:rsidR="006E3D70" w:rsidRPr="006E3D70">
        <w:rPr>
          <w:rFonts w:ascii="Arial" w:hAnsi="Arial" w:cs="Arial"/>
        </w:rPr>
        <w:t xml:space="preserve">hese historical economic data, as contained in Exhibits 26 and 27, provide a good first indication, albeit not a conclusive </w:t>
      </w:r>
      <w:r w:rsidR="00DB71A0">
        <w:rPr>
          <w:rFonts w:ascii="Arial" w:hAnsi="Arial" w:cs="Arial"/>
        </w:rPr>
        <w:t>one</w:t>
      </w:r>
      <w:r w:rsidR="006E3D70" w:rsidRPr="006E3D70">
        <w:rPr>
          <w:rFonts w:ascii="Arial" w:hAnsi="Arial" w:cs="Arial"/>
        </w:rPr>
        <w:t xml:space="preserve">, of the past response of UPR imports to changing relative UPR prices, i.e. the response from UPR imports in times when there were significant price differences between the prices of local and </w:t>
      </w:r>
      <w:r w:rsidR="001A5477">
        <w:rPr>
          <w:rFonts w:ascii="Arial" w:hAnsi="Arial" w:cs="Arial"/>
        </w:rPr>
        <w:t xml:space="preserve">(landed) </w:t>
      </w:r>
      <w:r w:rsidR="006E3D70" w:rsidRPr="006E3D70">
        <w:rPr>
          <w:rFonts w:ascii="Arial" w:hAnsi="Arial" w:cs="Arial"/>
        </w:rPr>
        <w:t>imported UPR product.</w:t>
      </w:r>
      <w:r w:rsidR="006E3D70">
        <w:rPr>
          <w:rStyle w:val="FootnoteReference"/>
          <w:rFonts w:ascii="Arial" w:hAnsi="Arial" w:cs="Arial"/>
        </w:rPr>
        <w:footnoteReference w:id="74"/>
      </w:r>
      <w:r w:rsidR="006E3D70" w:rsidRPr="006E3D70">
        <w:rPr>
          <w:rFonts w:ascii="Arial" w:hAnsi="Arial" w:cs="Arial"/>
        </w:rPr>
        <w:t xml:space="preserve"> From the above i</w:t>
      </w:r>
      <w:r w:rsidR="00716C80" w:rsidRPr="006E3D70">
        <w:rPr>
          <w:rFonts w:ascii="Arial" w:hAnsi="Arial" w:cs="Arial"/>
        </w:rPr>
        <w:t xml:space="preserve">t is evident that </w:t>
      </w:r>
      <w:r w:rsidR="005B11AD" w:rsidRPr="006E3D70">
        <w:rPr>
          <w:rFonts w:ascii="Arial" w:hAnsi="Arial" w:cs="Arial"/>
        </w:rPr>
        <w:t xml:space="preserve">historically </w:t>
      </w:r>
      <w:r w:rsidR="006E3D70" w:rsidRPr="006E3D70">
        <w:rPr>
          <w:rFonts w:ascii="Arial" w:hAnsi="Arial" w:cs="Arial"/>
        </w:rPr>
        <w:t xml:space="preserve">UPR </w:t>
      </w:r>
      <w:r w:rsidR="00716C80" w:rsidRPr="006E3D70">
        <w:rPr>
          <w:rFonts w:ascii="Arial" w:hAnsi="Arial" w:cs="Arial"/>
        </w:rPr>
        <w:t xml:space="preserve">imports </w:t>
      </w:r>
      <w:r w:rsidR="005B11AD" w:rsidRPr="006E3D70">
        <w:rPr>
          <w:rFonts w:ascii="Arial" w:hAnsi="Arial" w:cs="Arial"/>
        </w:rPr>
        <w:t>were</w:t>
      </w:r>
      <w:r w:rsidR="00716C80" w:rsidRPr="006E3D70">
        <w:rPr>
          <w:rFonts w:ascii="Arial" w:hAnsi="Arial" w:cs="Arial"/>
        </w:rPr>
        <w:t xml:space="preserve"> effectively unchanged despite </w:t>
      </w:r>
      <w:r w:rsidR="0068246F" w:rsidRPr="006E3D70">
        <w:rPr>
          <w:rFonts w:ascii="Arial" w:hAnsi="Arial" w:cs="Arial"/>
        </w:rPr>
        <w:t xml:space="preserve">significant </w:t>
      </w:r>
      <w:r w:rsidR="006E3D70" w:rsidRPr="006E3D70">
        <w:rPr>
          <w:rFonts w:ascii="Arial" w:hAnsi="Arial" w:cs="Arial"/>
        </w:rPr>
        <w:t xml:space="preserve">relative </w:t>
      </w:r>
      <w:r w:rsidR="00716C80" w:rsidRPr="006E3D70">
        <w:rPr>
          <w:rFonts w:ascii="Arial" w:hAnsi="Arial" w:cs="Arial"/>
        </w:rPr>
        <w:t xml:space="preserve">price differences </w:t>
      </w:r>
      <w:r w:rsidR="0068246F" w:rsidRPr="006E3D70">
        <w:rPr>
          <w:rFonts w:ascii="Arial" w:hAnsi="Arial" w:cs="Arial"/>
        </w:rPr>
        <w:t>in the mentioned years</w:t>
      </w:r>
      <w:r w:rsidR="00716C80" w:rsidRPr="006E3D70">
        <w:rPr>
          <w:rFonts w:ascii="Arial" w:hAnsi="Arial" w:cs="Arial"/>
        </w:rPr>
        <w:t xml:space="preserve">. </w:t>
      </w:r>
    </w:p>
    <w:p w:rsidR="00D53182" w:rsidRPr="006E3D70" w:rsidRDefault="00D53182" w:rsidP="0080582B">
      <w:pPr>
        <w:pStyle w:val="ListParagraph"/>
        <w:numPr>
          <w:ilvl w:val="0"/>
          <w:numId w:val="2"/>
        </w:numPr>
        <w:spacing w:after="240" w:line="360" w:lineRule="auto"/>
        <w:ind w:left="0" w:firstLine="0"/>
        <w:jc w:val="both"/>
        <w:rPr>
          <w:rFonts w:ascii="Arial" w:hAnsi="Arial" w:cs="Arial"/>
        </w:rPr>
      </w:pPr>
      <w:r>
        <w:rPr>
          <w:rFonts w:ascii="Arial" w:hAnsi="Arial" w:cs="Arial"/>
        </w:rPr>
        <w:t xml:space="preserve">The </w:t>
      </w:r>
      <w:r w:rsidR="008946C1">
        <w:rPr>
          <w:rFonts w:ascii="Arial" w:hAnsi="Arial" w:cs="Arial"/>
        </w:rPr>
        <w:t>limited response of imports</w:t>
      </w:r>
      <w:r w:rsidR="001E69FC">
        <w:rPr>
          <w:rFonts w:ascii="Arial" w:hAnsi="Arial" w:cs="Arial"/>
        </w:rPr>
        <w:t xml:space="preserve"> discussed above</w:t>
      </w:r>
      <w:r>
        <w:rPr>
          <w:rFonts w:ascii="Arial" w:hAnsi="Arial" w:cs="Arial"/>
        </w:rPr>
        <w:t xml:space="preserve"> </w:t>
      </w:r>
      <w:r w:rsidR="008946C1">
        <w:rPr>
          <w:rFonts w:ascii="Arial" w:hAnsi="Arial" w:cs="Arial"/>
        </w:rPr>
        <w:t>is</w:t>
      </w:r>
      <w:r>
        <w:rPr>
          <w:rFonts w:ascii="Arial" w:hAnsi="Arial" w:cs="Arial"/>
        </w:rPr>
        <w:t xml:space="preserve"> consistent with the factual evidence </w:t>
      </w:r>
      <w:r w:rsidR="001E69FC">
        <w:rPr>
          <w:rFonts w:ascii="Arial" w:hAnsi="Arial" w:cs="Arial"/>
        </w:rPr>
        <w:t>which</w:t>
      </w:r>
      <w:r>
        <w:rPr>
          <w:rFonts w:ascii="Arial" w:hAnsi="Arial" w:cs="Arial"/>
        </w:rPr>
        <w:t xml:space="preserve"> indicated that providing local professional services </w:t>
      </w:r>
      <w:r w:rsidR="001E69FC">
        <w:rPr>
          <w:rFonts w:ascii="Arial" w:hAnsi="Arial" w:cs="Arial"/>
        </w:rPr>
        <w:t>is</w:t>
      </w:r>
      <w:r>
        <w:rPr>
          <w:rFonts w:ascii="Arial" w:hAnsi="Arial" w:cs="Arial"/>
        </w:rPr>
        <w:t xml:space="preserve"> of value to </w:t>
      </w:r>
      <w:r w:rsidR="00B93579">
        <w:rPr>
          <w:rFonts w:ascii="Arial" w:hAnsi="Arial" w:cs="Arial"/>
        </w:rPr>
        <w:t>many</w:t>
      </w:r>
      <w:r>
        <w:rPr>
          <w:rFonts w:ascii="Arial" w:hAnsi="Arial" w:cs="Arial"/>
        </w:rPr>
        <w:t xml:space="preserve"> </w:t>
      </w:r>
      <w:r w:rsidR="001A5477">
        <w:rPr>
          <w:rFonts w:ascii="Arial" w:hAnsi="Arial" w:cs="Arial"/>
        </w:rPr>
        <w:t xml:space="preserve">UPR </w:t>
      </w:r>
      <w:r>
        <w:rPr>
          <w:rFonts w:ascii="Arial" w:hAnsi="Arial" w:cs="Arial"/>
        </w:rPr>
        <w:t>customer</w:t>
      </w:r>
      <w:r w:rsidR="00B93579">
        <w:rPr>
          <w:rFonts w:ascii="Arial" w:hAnsi="Arial" w:cs="Arial"/>
        </w:rPr>
        <w:t>s, that ma</w:t>
      </w:r>
      <w:r w:rsidR="008946C1">
        <w:rPr>
          <w:rFonts w:ascii="Arial" w:hAnsi="Arial" w:cs="Arial"/>
        </w:rPr>
        <w:t>n</w:t>
      </w:r>
      <w:r w:rsidR="00B93579">
        <w:rPr>
          <w:rFonts w:ascii="Arial" w:hAnsi="Arial" w:cs="Arial"/>
        </w:rPr>
        <w:t xml:space="preserve">y customers require customisation of UPRs </w:t>
      </w:r>
      <w:r>
        <w:rPr>
          <w:rFonts w:ascii="Arial" w:hAnsi="Arial" w:cs="Arial"/>
        </w:rPr>
        <w:t xml:space="preserve">and </w:t>
      </w:r>
      <w:r w:rsidR="00B93579">
        <w:rPr>
          <w:rFonts w:ascii="Arial" w:hAnsi="Arial" w:cs="Arial"/>
        </w:rPr>
        <w:t xml:space="preserve">that </w:t>
      </w:r>
      <w:r w:rsidR="008946C1">
        <w:rPr>
          <w:rFonts w:ascii="Arial" w:hAnsi="Arial" w:cs="Arial"/>
        </w:rPr>
        <w:t xml:space="preserve">importing is associated with </w:t>
      </w:r>
      <w:r>
        <w:rPr>
          <w:rFonts w:ascii="Arial" w:hAnsi="Arial" w:cs="Arial"/>
        </w:rPr>
        <w:t xml:space="preserve">practical </w:t>
      </w:r>
      <w:r w:rsidR="00B93579">
        <w:rPr>
          <w:rFonts w:ascii="Arial" w:hAnsi="Arial" w:cs="Arial"/>
        </w:rPr>
        <w:t xml:space="preserve">and other </w:t>
      </w:r>
      <w:r>
        <w:rPr>
          <w:rFonts w:ascii="Arial" w:hAnsi="Arial" w:cs="Arial"/>
        </w:rPr>
        <w:t>obstacles</w:t>
      </w:r>
      <w:r w:rsidR="00B93579">
        <w:rPr>
          <w:rFonts w:ascii="Arial" w:hAnsi="Arial" w:cs="Arial"/>
        </w:rPr>
        <w:t xml:space="preserve">, including certain risks related to the quality of </w:t>
      </w:r>
      <w:r w:rsidR="008946C1">
        <w:rPr>
          <w:rFonts w:ascii="Arial" w:hAnsi="Arial" w:cs="Arial"/>
        </w:rPr>
        <w:t xml:space="preserve">the </w:t>
      </w:r>
      <w:r w:rsidR="00B93579">
        <w:rPr>
          <w:rFonts w:ascii="Arial" w:hAnsi="Arial" w:cs="Arial"/>
        </w:rPr>
        <w:t xml:space="preserve">product and exchange rate </w:t>
      </w:r>
      <w:r w:rsidR="00664535">
        <w:rPr>
          <w:rFonts w:ascii="Arial" w:hAnsi="Arial" w:cs="Arial"/>
        </w:rPr>
        <w:t>fluctuations</w:t>
      </w:r>
      <w:r w:rsidR="00D52437">
        <w:rPr>
          <w:rFonts w:ascii="Arial" w:hAnsi="Arial" w:cs="Arial"/>
        </w:rPr>
        <w:t xml:space="preserve">. Furthermore, some of these obstacles </w:t>
      </w:r>
      <w:r w:rsidR="008946C1">
        <w:rPr>
          <w:rFonts w:ascii="Arial" w:hAnsi="Arial" w:cs="Arial"/>
        </w:rPr>
        <w:t xml:space="preserve">may </w:t>
      </w:r>
      <w:r w:rsidR="00D52437">
        <w:rPr>
          <w:rFonts w:ascii="Arial" w:hAnsi="Arial" w:cs="Arial"/>
        </w:rPr>
        <w:t xml:space="preserve">have </w:t>
      </w:r>
      <w:r w:rsidR="008946C1">
        <w:rPr>
          <w:rFonts w:ascii="Arial" w:hAnsi="Arial" w:cs="Arial"/>
        </w:rPr>
        <w:t xml:space="preserve">cost </w:t>
      </w:r>
      <w:r w:rsidR="00D52437">
        <w:rPr>
          <w:rFonts w:ascii="Arial" w:hAnsi="Arial" w:cs="Arial"/>
        </w:rPr>
        <w:t>implications</w:t>
      </w:r>
      <w:r w:rsidR="00B93579">
        <w:rPr>
          <w:rFonts w:ascii="Arial" w:hAnsi="Arial" w:cs="Arial"/>
        </w:rPr>
        <w:t xml:space="preserve">, for example importing may create </w:t>
      </w:r>
      <w:r w:rsidR="00B93579" w:rsidRPr="00985A92">
        <w:rPr>
          <w:rFonts w:ascii="Arial" w:hAnsi="Arial" w:cs="Arial"/>
        </w:rPr>
        <w:t xml:space="preserve">working capital costs </w:t>
      </w:r>
      <w:r w:rsidR="00B93579">
        <w:rPr>
          <w:rFonts w:ascii="Arial" w:hAnsi="Arial" w:cs="Arial"/>
        </w:rPr>
        <w:t xml:space="preserve">or cash-flow </w:t>
      </w:r>
      <w:r w:rsidR="00B93579" w:rsidRPr="00985A92">
        <w:rPr>
          <w:rFonts w:ascii="Arial" w:hAnsi="Arial" w:cs="Arial"/>
        </w:rPr>
        <w:t>challenges</w:t>
      </w:r>
      <w:r w:rsidR="00B93579">
        <w:rPr>
          <w:rFonts w:ascii="Arial" w:hAnsi="Arial" w:cs="Arial"/>
        </w:rPr>
        <w:t>.</w:t>
      </w:r>
    </w:p>
    <w:p w:rsidR="006E3D70" w:rsidRDefault="00DB71A0" w:rsidP="0080582B">
      <w:pPr>
        <w:pStyle w:val="ListParagraph"/>
        <w:numPr>
          <w:ilvl w:val="0"/>
          <w:numId w:val="2"/>
        </w:numPr>
        <w:spacing w:after="240" w:line="360" w:lineRule="auto"/>
        <w:ind w:left="0" w:firstLine="0"/>
        <w:jc w:val="both"/>
        <w:rPr>
          <w:rFonts w:ascii="Arial" w:hAnsi="Arial" w:cs="Arial"/>
        </w:rPr>
      </w:pPr>
      <w:r>
        <w:rPr>
          <w:rFonts w:ascii="Arial" w:hAnsi="Arial" w:cs="Arial"/>
        </w:rPr>
        <w:t xml:space="preserve">Based on all of the above, </w:t>
      </w:r>
      <w:r w:rsidR="006E3D70">
        <w:rPr>
          <w:rFonts w:ascii="Arial" w:hAnsi="Arial" w:cs="Arial"/>
        </w:rPr>
        <w:t>w</w:t>
      </w:r>
      <w:r w:rsidR="006363F1" w:rsidRPr="006363F1">
        <w:rPr>
          <w:rFonts w:ascii="Arial" w:hAnsi="Arial" w:cs="Arial"/>
        </w:rPr>
        <w:t>e</w:t>
      </w:r>
      <w:r w:rsidR="0068246F" w:rsidRPr="006363F1">
        <w:rPr>
          <w:rFonts w:ascii="Arial" w:hAnsi="Arial" w:cs="Arial"/>
        </w:rPr>
        <w:t xml:space="preserve"> </w:t>
      </w:r>
      <w:r w:rsidR="006363F1" w:rsidRPr="006363F1">
        <w:rPr>
          <w:rFonts w:ascii="Arial" w:hAnsi="Arial" w:cs="Arial"/>
        </w:rPr>
        <w:t>conclude that the</w:t>
      </w:r>
      <w:r w:rsidR="00664535">
        <w:rPr>
          <w:rFonts w:ascii="Arial" w:hAnsi="Arial" w:cs="Arial"/>
        </w:rPr>
        <w:t xml:space="preserve"> geographic</w:t>
      </w:r>
      <w:r w:rsidR="006363F1" w:rsidRPr="006363F1">
        <w:rPr>
          <w:rFonts w:ascii="Arial" w:hAnsi="Arial" w:cs="Arial"/>
        </w:rPr>
        <w:t xml:space="preserve"> market for the production and sale of UPR is national in </w:t>
      </w:r>
      <w:r w:rsidR="00664535">
        <w:rPr>
          <w:rFonts w:ascii="Arial" w:hAnsi="Arial" w:cs="Arial"/>
        </w:rPr>
        <w:t>s</w:t>
      </w:r>
      <w:r w:rsidR="006363F1" w:rsidRPr="006363F1">
        <w:rPr>
          <w:rFonts w:ascii="Arial" w:hAnsi="Arial" w:cs="Arial"/>
        </w:rPr>
        <w:t xml:space="preserve">cope. </w:t>
      </w:r>
      <w:r w:rsidR="00D417E5">
        <w:rPr>
          <w:rFonts w:ascii="Arial" w:hAnsi="Arial" w:cs="Arial"/>
        </w:rPr>
        <w:t xml:space="preserve">This conclusion is the same for the </w:t>
      </w:r>
      <w:r w:rsidR="00D417E5">
        <w:rPr>
          <w:rFonts w:ascii="Arial" w:hAnsi="Arial" w:cs="Arial"/>
        </w:rPr>
        <w:lastRenderedPageBreak/>
        <w:t xml:space="preserve">narrow product market for the production and sale of mining UPR. </w:t>
      </w:r>
      <w:r w:rsidR="007F5B94">
        <w:rPr>
          <w:rFonts w:ascii="Arial" w:hAnsi="Arial" w:cs="Arial"/>
        </w:rPr>
        <w:t>I</w:t>
      </w:r>
      <w:r w:rsidR="00927BF5">
        <w:rPr>
          <w:rFonts w:ascii="Arial" w:hAnsi="Arial" w:cs="Arial"/>
        </w:rPr>
        <w:t>mports appear to be most applicable to general purpose resin</w:t>
      </w:r>
      <w:r w:rsidR="00157BC9">
        <w:rPr>
          <w:rFonts w:ascii="Arial" w:hAnsi="Arial" w:cs="Arial"/>
        </w:rPr>
        <w:t xml:space="preserve"> and we shall deal with this in the analysis of the competition effects of the proposed merger.</w:t>
      </w:r>
    </w:p>
    <w:p w:rsidR="00353AC1" w:rsidRPr="00353AC1" w:rsidRDefault="00353AC1" w:rsidP="00353AC1">
      <w:pPr>
        <w:pStyle w:val="ListParagraph"/>
        <w:spacing w:after="240" w:line="360" w:lineRule="auto"/>
        <w:ind w:left="0"/>
        <w:jc w:val="both"/>
        <w:rPr>
          <w:rFonts w:ascii="Arial" w:hAnsi="Arial" w:cs="Arial"/>
          <w:b/>
        </w:rPr>
      </w:pPr>
      <w:r w:rsidRPr="00353AC1">
        <w:rPr>
          <w:rFonts w:ascii="Arial" w:hAnsi="Arial" w:cs="Arial"/>
          <w:b/>
        </w:rPr>
        <w:t>Competition assessment</w:t>
      </w:r>
    </w:p>
    <w:p w:rsidR="003F0C19" w:rsidRPr="00F071B4" w:rsidRDefault="003F0C19" w:rsidP="003F0C19">
      <w:pPr>
        <w:pStyle w:val="ListParagraph"/>
        <w:spacing w:after="240" w:line="360" w:lineRule="auto"/>
        <w:ind w:left="0"/>
        <w:jc w:val="both"/>
        <w:rPr>
          <w:rFonts w:ascii="Arial" w:hAnsi="Arial" w:cs="Arial"/>
          <w:b/>
        </w:rPr>
      </w:pPr>
      <w:r w:rsidRPr="00F071B4">
        <w:rPr>
          <w:rFonts w:ascii="Arial" w:hAnsi="Arial" w:cs="Arial"/>
          <w:b/>
        </w:rPr>
        <w:t>Counterfactual</w:t>
      </w:r>
      <w:r w:rsidR="005140B1">
        <w:rPr>
          <w:rFonts w:ascii="Arial" w:hAnsi="Arial" w:cs="Arial"/>
          <w:b/>
        </w:rPr>
        <w:t xml:space="preserve"> absent proposed merger</w:t>
      </w:r>
    </w:p>
    <w:p w:rsidR="003F0C19" w:rsidRDefault="003F0C19" w:rsidP="0080582B">
      <w:pPr>
        <w:pStyle w:val="ListParagraph"/>
        <w:numPr>
          <w:ilvl w:val="0"/>
          <w:numId w:val="2"/>
        </w:numPr>
        <w:spacing w:after="240" w:line="360" w:lineRule="auto"/>
        <w:ind w:left="0" w:firstLine="0"/>
        <w:jc w:val="both"/>
        <w:rPr>
          <w:rFonts w:ascii="Arial" w:hAnsi="Arial" w:cs="Arial"/>
        </w:rPr>
      </w:pPr>
      <w:r>
        <w:rPr>
          <w:rFonts w:ascii="Arial" w:hAnsi="Arial" w:cs="Arial"/>
        </w:rPr>
        <w:t xml:space="preserve">The </w:t>
      </w:r>
      <w:r w:rsidRPr="00DC26A7">
        <w:rPr>
          <w:rFonts w:ascii="Arial" w:hAnsi="Arial" w:cs="Arial"/>
        </w:rPr>
        <w:t xml:space="preserve">true counterfactual absent the proposed merger </w:t>
      </w:r>
      <w:r>
        <w:rPr>
          <w:rFonts w:ascii="Arial" w:hAnsi="Arial" w:cs="Arial"/>
        </w:rPr>
        <w:t xml:space="preserve">was heavily disputed between the Commission and the merging parties and </w:t>
      </w:r>
      <w:r w:rsidRPr="00DC26A7">
        <w:rPr>
          <w:rFonts w:ascii="Arial" w:hAnsi="Arial" w:cs="Arial"/>
        </w:rPr>
        <w:t xml:space="preserve">received significant attention during the </w:t>
      </w:r>
      <w:r w:rsidR="008F0562">
        <w:rPr>
          <w:rFonts w:ascii="Arial" w:hAnsi="Arial" w:cs="Arial"/>
        </w:rPr>
        <w:t xml:space="preserve">merger </w:t>
      </w:r>
      <w:r w:rsidRPr="00DC26A7">
        <w:rPr>
          <w:rFonts w:ascii="Arial" w:hAnsi="Arial" w:cs="Arial"/>
        </w:rPr>
        <w:t xml:space="preserve">hearing. </w:t>
      </w:r>
    </w:p>
    <w:p w:rsidR="003F0C19" w:rsidRPr="008F0562" w:rsidRDefault="003F0C19" w:rsidP="0080582B">
      <w:pPr>
        <w:pStyle w:val="ListParagraph"/>
        <w:numPr>
          <w:ilvl w:val="0"/>
          <w:numId w:val="2"/>
        </w:numPr>
        <w:spacing w:after="240" w:line="360" w:lineRule="auto"/>
        <w:ind w:left="0" w:firstLine="0"/>
        <w:jc w:val="both"/>
        <w:rPr>
          <w:rFonts w:ascii="Arial" w:hAnsi="Arial" w:cs="Arial"/>
        </w:rPr>
      </w:pPr>
      <w:r w:rsidRPr="008F0562">
        <w:rPr>
          <w:rFonts w:ascii="Arial" w:hAnsi="Arial" w:cs="Arial"/>
        </w:rPr>
        <w:t xml:space="preserve">The merging parties submitted that the counterfactual absent the </w:t>
      </w:r>
      <w:r w:rsidR="007F5B94">
        <w:rPr>
          <w:rFonts w:ascii="Arial" w:hAnsi="Arial" w:cs="Arial"/>
        </w:rPr>
        <w:t xml:space="preserve">proposed </w:t>
      </w:r>
      <w:r w:rsidRPr="008F0562">
        <w:rPr>
          <w:rFonts w:ascii="Arial" w:hAnsi="Arial" w:cs="Arial"/>
        </w:rPr>
        <w:t xml:space="preserve">merger for purposes of assessing the competitive effects of the merger is that the composites part of the Arkema SA business and consequently also its coatings business will be permanently closed. </w:t>
      </w:r>
      <w:r w:rsidR="008F0562" w:rsidRPr="008F0562">
        <w:rPr>
          <w:rFonts w:ascii="Arial" w:hAnsi="Arial" w:cs="Arial"/>
        </w:rPr>
        <w:t xml:space="preserve">The Commission </w:t>
      </w:r>
      <w:r w:rsidR="00887E6A">
        <w:rPr>
          <w:rFonts w:ascii="Arial" w:hAnsi="Arial" w:cs="Arial"/>
        </w:rPr>
        <w:t xml:space="preserve">however </w:t>
      </w:r>
      <w:r w:rsidR="002006AC">
        <w:rPr>
          <w:rFonts w:ascii="Arial" w:hAnsi="Arial" w:cs="Arial"/>
        </w:rPr>
        <w:t xml:space="preserve">argued that </w:t>
      </w:r>
      <w:r w:rsidRPr="008F0562">
        <w:rPr>
          <w:rFonts w:ascii="Arial" w:hAnsi="Arial" w:cs="Arial"/>
        </w:rPr>
        <w:t xml:space="preserve">the merging parties </w:t>
      </w:r>
      <w:r w:rsidR="00D3075F">
        <w:rPr>
          <w:rFonts w:ascii="Arial" w:hAnsi="Arial" w:cs="Arial"/>
        </w:rPr>
        <w:t>had</w:t>
      </w:r>
      <w:r w:rsidRPr="008F0562">
        <w:rPr>
          <w:rFonts w:ascii="Arial" w:hAnsi="Arial" w:cs="Arial"/>
        </w:rPr>
        <w:t xml:space="preserve"> been inconsistent as to what the position would be absent the merger</w:t>
      </w:r>
      <w:r w:rsidR="005140B1">
        <w:rPr>
          <w:rFonts w:ascii="Arial" w:hAnsi="Arial" w:cs="Arial"/>
        </w:rPr>
        <w:t xml:space="preserve">. The Commission argued that the merging parties </w:t>
      </w:r>
      <w:r w:rsidRPr="008F0562">
        <w:rPr>
          <w:rFonts w:ascii="Arial" w:hAnsi="Arial" w:cs="Arial"/>
        </w:rPr>
        <w:t xml:space="preserve">at certain times </w:t>
      </w:r>
      <w:r w:rsidR="005140B1">
        <w:rPr>
          <w:rFonts w:ascii="Arial" w:hAnsi="Arial" w:cs="Arial"/>
        </w:rPr>
        <w:t xml:space="preserve">indicated </w:t>
      </w:r>
      <w:r w:rsidRPr="008F0562">
        <w:rPr>
          <w:rFonts w:ascii="Arial" w:hAnsi="Arial" w:cs="Arial"/>
        </w:rPr>
        <w:t xml:space="preserve">that only the composites part of the </w:t>
      </w:r>
      <w:r w:rsidR="00887E6A">
        <w:rPr>
          <w:rFonts w:ascii="Arial" w:hAnsi="Arial" w:cs="Arial"/>
        </w:rPr>
        <w:t xml:space="preserve">Arkema </w:t>
      </w:r>
      <w:r w:rsidRPr="008F0562">
        <w:rPr>
          <w:rFonts w:ascii="Arial" w:hAnsi="Arial" w:cs="Arial"/>
        </w:rPr>
        <w:t xml:space="preserve">business </w:t>
      </w:r>
      <w:r w:rsidR="005140B1">
        <w:rPr>
          <w:rFonts w:ascii="Arial" w:hAnsi="Arial" w:cs="Arial"/>
        </w:rPr>
        <w:t xml:space="preserve">in </w:t>
      </w:r>
      <w:r w:rsidR="005140B1" w:rsidRPr="008F0562">
        <w:rPr>
          <w:rFonts w:ascii="Arial" w:hAnsi="Arial" w:cs="Arial"/>
        </w:rPr>
        <w:t xml:space="preserve">South Africa </w:t>
      </w:r>
      <w:r w:rsidRPr="008F0562">
        <w:rPr>
          <w:rFonts w:ascii="Arial" w:hAnsi="Arial" w:cs="Arial"/>
        </w:rPr>
        <w:t xml:space="preserve">will be closed absent the merger and at other times alleged </w:t>
      </w:r>
      <w:r w:rsidR="001A5477">
        <w:rPr>
          <w:rFonts w:ascii="Arial" w:hAnsi="Arial" w:cs="Arial"/>
        </w:rPr>
        <w:t xml:space="preserve">that </w:t>
      </w:r>
      <w:r w:rsidRPr="008F0562">
        <w:rPr>
          <w:rFonts w:ascii="Arial" w:hAnsi="Arial" w:cs="Arial"/>
        </w:rPr>
        <w:t xml:space="preserve">the closing of the entire </w:t>
      </w:r>
      <w:r w:rsidR="00887E6A">
        <w:rPr>
          <w:rFonts w:ascii="Arial" w:hAnsi="Arial" w:cs="Arial"/>
        </w:rPr>
        <w:t xml:space="preserve">Arkema SA </w:t>
      </w:r>
      <w:r w:rsidRPr="008F0562">
        <w:rPr>
          <w:rFonts w:ascii="Arial" w:hAnsi="Arial" w:cs="Arial"/>
        </w:rPr>
        <w:t xml:space="preserve">business </w:t>
      </w:r>
      <w:r w:rsidR="005140B1">
        <w:rPr>
          <w:rFonts w:ascii="Arial" w:hAnsi="Arial" w:cs="Arial"/>
        </w:rPr>
        <w:t>(</w:t>
      </w:r>
      <w:r w:rsidRPr="008F0562">
        <w:rPr>
          <w:rFonts w:ascii="Arial" w:hAnsi="Arial" w:cs="Arial"/>
        </w:rPr>
        <w:t>including both the composites and coatings parts</w:t>
      </w:r>
      <w:r w:rsidR="005140B1">
        <w:rPr>
          <w:rFonts w:ascii="Arial" w:hAnsi="Arial" w:cs="Arial"/>
        </w:rPr>
        <w:t>)</w:t>
      </w:r>
      <w:r w:rsidR="00615D4F">
        <w:rPr>
          <w:rFonts w:ascii="Arial" w:hAnsi="Arial" w:cs="Arial"/>
        </w:rPr>
        <w:t xml:space="preserve"> was the most likely outcome</w:t>
      </w:r>
      <w:r w:rsidRPr="008F0562">
        <w:rPr>
          <w:rFonts w:ascii="Arial" w:hAnsi="Arial" w:cs="Arial"/>
        </w:rPr>
        <w:t xml:space="preserve">. The Commission ultimately submitted that it cannot be stated with any certainty that the entire Arkema </w:t>
      </w:r>
      <w:r w:rsidR="00887E6A">
        <w:rPr>
          <w:rFonts w:ascii="Arial" w:hAnsi="Arial" w:cs="Arial"/>
        </w:rPr>
        <w:t xml:space="preserve">SA </w:t>
      </w:r>
      <w:r w:rsidRPr="008F0562">
        <w:rPr>
          <w:rFonts w:ascii="Arial" w:hAnsi="Arial" w:cs="Arial"/>
        </w:rPr>
        <w:t>business would close absent the merger.</w:t>
      </w:r>
    </w:p>
    <w:p w:rsidR="003F0C19" w:rsidRDefault="003F0C19" w:rsidP="0080582B">
      <w:pPr>
        <w:pStyle w:val="ListParagraph"/>
        <w:numPr>
          <w:ilvl w:val="0"/>
          <w:numId w:val="2"/>
        </w:numPr>
        <w:spacing w:after="240" w:line="360" w:lineRule="auto"/>
        <w:ind w:left="0" w:firstLine="0"/>
        <w:jc w:val="both"/>
        <w:rPr>
          <w:rFonts w:ascii="Arial" w:hAnsi="Arial" w:cs="Arial"/>
        </w:rPr>
      </w:pPr>
      <w:r>
        <w:rPr>
          <w:rFonts w:ascii="Arial" w:hAnsi="Arial" w:cs="Arial"/>
        </w:rPr>
        <w:t>T</w:t>
      </w:r>
      <w:r w:rsidRPr="004C1C44">
        <w:rPr>
          <w:rFonts w:ascii="Arial" w:hAnsi="Arial" w:cs="Arial"/>
        </w:rPr>
        <w:t xml:space="preserve">here is </w:t>
      </w:r>
      <w:r w:rsidR="00887E6A">
        <w:rPr>
          <w:rFonts w:ascii="Arial" w:hAnsi="Arial" w:cs="Arial"/>
        </w:rPr>
        <w:t xml:space="preserve">however </w:t>
      </w:r>
      <w:r w:rsidRPr="004C1C44">
        <w:rPr>
          <w:rFonts w:ascii="Arial" w:hAnsi="Arial" w:cs="Arial"/>
        </w:rPr>
        <w:t>no need for us to discus</w:t>
      </w:r>
      <w:r>
        <w:rPr>
          <w:rFonts w:ascii="Arial" w:hAnsi="Arial" w:cs="Arial"/>
        </w:rPr>
        <w:t>s</w:t>
      </w:r>
      <w:r w:rsidRPr="004C1C44">
        <w:rPr>
          <w:rFonts w:ascii="Arial" w:hAnsi="Arial" w:cs="Arial"/>
        </w:rPr>
        <w:t xml:space="preserve"> the</w:t>
      </w:r>
      <w:r w:rsidR="000565FD">
        <w:rPr>
          <w:rFonts w:ascii="Arial" w:hAnsi="Arial" w:cs="Arial"/>
        </w:rPr>
        <w:t>se</w:t>
      </w:r>
      <w:r w:rsidRPr="004C1C44">
        <w:rPr>
          <w:rFonts w:ascii="Arial" w:hAnsi="Arial" w:cs="Arial"/>
        </w:rPr>
        <w:t xml:space="preserve"> </w:t>
      </w:r>
      <w:r w:rsidR="000565FD">
        <w:rPr>
          <w:rFonts w:ascii="Arial" w:hAnsi="Arial" w:cs="Arial"/>
        </w:rPr>
        <w:t xml:space="preserve">disputes regarding the appropriate </w:t>
      </w:r>
      <w:r w:rsidRPr="004C1C44">
        <w:rPr>
          <w:rFonts w:ascii="Arial" w:hAnsi="Arial" w:cs="Arial"/>
        </w:rPr>
        <w:t xml:space="preserve">counterfactual in any </w:t>
      </w:r>
      <w:r>
        <w:rPr>
          <w:rFonts w:ascii="Arial" w:hAnsi="Arial" w:cs="Arial"/>
        </w:rPr>
        <w:t xml:space="preserve">great </w:t>
      </w:r>
      <w:r w:rsidRPr="004C1C44">
        <w:rPr>
          <w:rFonts w:ascii="Arial" w:hAnsi="Arial" w:cs="Arial"/>
        </w:rPr>
        <w:t xml:space="preserve">detail </w:t>
      </w:r>
      <w:r w:rsidR="000565FD">
        <w:rPr>
          <w:rFonts w:ascii="Arial" w:hAnsi="Arial" w:cs="Arial"/>
        </w:rPr>
        <w:t xml:space="preserve">in these reasons </w:t>
      </w:r>
      <w:r w:rsidRPr="004C1C44">
        <w:rPr>
          <w:rFonts w:ascii="Arial" w:hAnsi="Arial" w:cs="Arial"/>
        </w:rPr>
        <w:t xml:space="preserve">since the set of </w:t>
      </w:r>
      <w:r w:rsidR="005140B1">
        <w:rPr>
          <w:rFonts w:ascii="Arial" w:hAnsi="Arial" w:cs="Arial"/>
        </w:rPr>
        <w:t>conditions</w:t>
      </w:r>
      <w:r w:rsidRPr="004C1C44">
        <w:rPr>
          <w:rFonts w:ascii="Arial" w:hAnsi="Arial" w:cs="Arial"/>
        </w:rPr>
        <w:t xml:space="preserve"> that we have imposed </w:t>
      </w:r>
      <w:r w:rsidR="000565FD">
        <w:rPr>
          <w:rFonts w:ascii="Arial" w:hAnsi="Arial" w:cs="Arial"/>
        </w:rPr>
        <w:t xml:space="preserve">on the approval of the proposed transaction </w:t>
      </w:r>
      <w:r w:rsidR="00B31375">
        <w:rPr>
          <w:rFonts w:ascii="Arial" w:hAnsi="Arial" w:cs="Arial"/>
        </w:rPr>
        <w:t>adequately address</w:t>
      </w:r>
      <w:r w:rsidRPr="004C1C44">
        <w:rPr>
          <w:rFonts w:ascii="Arial" w:hAnsi="Arial" w:cs="Arial"/>
        </w:rPr>
        <w:t xml:space="preserve"> the competition concerns </w:t>
      </w:r>
      <w:r>
        <w:rPr>
          <w:rFonts w:ascii="Arial" w:hAnsi="Arial" w:cs="Arial"/>
        </w:rPr>
        <w:t xml:space="preserve">that result from the proposed merger </w:t>
      </w:r>
      <w:r w:rsidR="00887E6A">
        <w:rPr>
          <w:rFonts w:ascii="Arial" w:hAnsi="Arial" w:cs="Arial"/>
        </w:rPr>
        <w:t xml:space="preserve">- </w:t>
      </w:r>
      <w:r>
        <w:rPr>
          <w:rFonts w:ascii="Arial" w:hAnsi="Arial" w:cs="Arial"/>
        </w:rPr>
        <w:t xml:space="preserve">even if the </w:t>
      </w:r>
      <w:r w:rsidR="000565FD">
        <w:rPr>
          <w:rFonts w:ascii="Arial" w:hAnsi="Arial" w:cs="Arial"/>
        </w:rPr>
        <w:t xml:space="preserve">appropriate </w:t>
      </w:r>
      <w:r>
        <w:rPr>
          <w:rFonts w:ascii="Arial" w:hAnsi="Arial" w:cs="Arial"/>
        </w:rPr>
        <w:t>counterfactual</w:t>
      </w:r>
      <w:r w:rsidR="00B24394" w:rsidRPr="00B24394">
        <w:rPr>
          <w:rFonts w:ascii="Arial" w:hAnsi="Arial" w:cs="Arial"/>
        </w:rPr>
        <w:t xml:space="preserve"> </w:t>
      </w:r>
      <w:r w:rsidR="000565FD">
        <w:rPr>
          <w:rFonts w:ascii="Arial" w:hAnsi="Arial" w:cs="Arial"/>
        </w:rPr>
        <w:t xml:space="preserve">for the competition assessment </w:t>
      </w:r>
      <w:r w:rsidR="00B24394">
        <w:rPr>
          <w:rFonts w:ascii="Arial" w:hAnsi="Arial" w:cs="Arial"/>
        </w:rPr>
        <w:t xml:space="preserve">is the </w:t>
      </w:r>
      <w:r w:rsidR="00B24394" w:rsidRPr="00740EAD">
        <w:rPr>
          <w:rFonts w:ascii="Arial" w:hAnsi="Arial" w:cs="Arial"/>
          <w:i/>
        </w:rPr>
        <w:t>status quo ante</w:t>
      </w:r>
      <w:r>
        <w:rPr>
          <w:rFonts w:ascii="Arial" w:hAnsi="Arial" w:cs="Arial"/>
        </w:rPr>
        <w:t xml:space="preserve">, as we have </w:t>
      </w:r>
      <w:r w:rsidR="00B24394">
        <w:rPr>
          <w:rFonts w:ascii="Arial" w:hAnsi="Arial" w:cs="Arial"/>
        </w:rPr>
        <w:t xml:space="preserve">indeed </w:t>
      </w:r>
      <w:r>
        <w:rPr>
          <w:rFonts w:ascii="Arial" w:hAnsi="Arial" w:cs="Arial"/>
        </w:rPr>
        <w:t>concluded</w:t>
      </w:r>
      <w:r w:rsidR="00B31375">
        <w:rPr>
          <w:rFonts w:ascii="Arial" w:hAnsi="Arial" w:cs="Arial"/>
        </w:rPr>
        <w:t xml:space="preserve"> it is</w:t>
      </w:r>
      <w:r w:rsidRPr="004C1C44">
        <w:rPr>
          <w:rFonts w:ascii="Arial" w:hAnsi="Arial" w:cs="Arial"/>
        </w:rPr>
        <w:t>.</w:t>
      </w:r>
    </w:p>
    <w:p w:rsidR="007B4F79" w:rsidRDefault="003F0C19" w:rsidP="0080582B">
      <w:pPr>
        <w:pStyle w:val="ListParagraph"/>
        <w:numPr>
          <w:ilvl w:val="0"/>
          <w:numId w:val="2"/>
        </w:numPr>
        <w:spacing w:after="240" w:line="360" w:lineRule="auto"/>
        <w:ind w:left="0" w:firstLine="0"/>
        <w:jc w:val="both"/>
        <w:rPr>
          <w:rFonts w:ascii="Arial" w:hAnsi="Arial" w:cs="Arial"/>
        </w:rPr>
      </w:pPr>
      <w:r w:rsidRPr="002E6A2E">
        <w:rPr>
          <w:rFonts w:ascii="Arial" w:hAnsi="Arial" w:cs="Arial"/>
        </w:rPr>
        <w:t xml:space="preserve">We note that it </w:t>
      </w:r>
      <w:proofErr w:type="gramStart"/>
      <w:r w:rsidRPr="002E6A2E">
        <w:rPr>
          <w:rFonts w:ascii="Arial" w:hAnsi="Arial" w:cs="Arial"/>
        </w:rPr>
        <w:t xml:space="preserve">was common cause that Arkema </w:t>
      </w:r>
      <w:r w:rsidR="007B4F79">
        <w:rPr>
          <w:rFonts w:ascii="Arial" w:hAnsi="Arial" w:cs="Arial"/>
        </w:rPr>
        <w:t xml:space="preserve">SA </w:t>
      </w:r>
      <w:r w:rsidR="000565FD">
        <w:rPr>
          <w:rFonts w:ascii="Arial" w:hAnsi="Arial" w:cs="Arial"/>
        </w:rPr>
        <w:t xml:space="preserve">cannot be regarded as </w:t>
      </w:r>
      <w:r w:rsidRPr="002E6A2E">
        <w:rPr>
          <w:rFonts w:ascii="Arial" w:hAnsi="Arial" w:cs="Arial"/>
        </w:rPr>
        <w:t xml:space="preserve">a failing firm nor is the composites division a failing division, as confirmed by </w:t>
      </w:r>
      <w:r w:rsidR="000565FD">
        <w:rPr>
          <w:rFonts w:ascii="Arial" w:hAnsi="Arial" w:cs="Arial"/>
        </w:rPr>
        <w:t xml:space="preserve">both </w:t>
      </w:r>
      <w:r w:rsidRPr="002E6A2E">
        <w:rPr>
          <w:rFonts w:ascii="Arial" w:hAnsi="Arial" w:cs="Arial"/>
        </w:rPr>
        <w:t>the merging parties’ counsel</w:t>
      </w:r>
      <w:r w:rsidR="00145248">
        <w:rPr>
          <w:rStyle w:val="FootnoteReference"/>
          <w:rFonts w:ascii="Arial" w:hAnsi="Arial" w:cs="Arial"/>
        </w:rPr>
        <w:footnoteReference w:id="75"/>
      </w:r>
      <w:proofErr w:type="gramEnd"/>
      <w:r w:rsidRPr="002E6A2E">
        <w:rPr>
          <w:rFonts w:ascii="Arial" w:hAnsi="Arial" w:cs="Arial"/>
        </w:rPr>
        <w:t xml:space="preserve"> and </w:t>
      </w:r>
      <w:r w:rsidR="006F23ED">
        <w:rPr>
          <w:rFonts w:ascii="Arial" w:hAnsi="Arial" w:cs="Arial"/>
        </w:rPr>
        <w:t>their</w:t>
      </w:r>
      <w:r w:rsidRPr="002E6A2E">
        <w:rPr>
          <w:rFonts w:ascii="Arial" w:hAnsi="Arial" w:cs="Arial"/>
        </w:rPr>
        <w:t xml:space="preserve"> economics expert</w:t>
      </w:r>
      <w:r w:rsidR="005140B1">
        <w:rPr>
          <w:rStyle w:val="FootnoteReference"/>
          <w:rFonts w:ascii="Arial" w:hAnsi="Arial" w:cs="Arial"/>
        </w:rPr>
        <w:footnoteReference w:id="76"/>
      </w:r>
      <w:r w:rsidRPr="002E6A2E">
        <w:rPr>
          <w:rFonts w:ascii="Arial" w:hAnsi="Arial" w:cs="Arial"/>
        </w:rPr>
        <w:t xml:space="preserve">. </w:t>
      </w:r>
    </w:p>
    <w:p w:rsidR="003F0C19" w:rsidRPr="000A6982" w:rsidRDefault="003F0C19" w:rsidP="0080582B">
      <w:pPr>
        <w:pStyle w:val="ListParagraph"/>
        <w:numPr>
          <w:ilvl w:val="0"/>
          <w:numId w:val="2"/>
        </w:numPr>
        <w:spacing w:after="240" w:line="360" w:lineRule="auto"/>
        <w:ind w:left="0" w:firstLine="0"/>
        <w:jc w:val="both"/>
        <w:rPr>
          <w:rFonts w:ascii="Arial" w:hAnsi="Arial" w:cs="Arial"/>
        </w:rPr>
      </w:pPr>
      <w:r w:rsidRPr="000A6982">
        <w:rPr>
          <w:rFonts w:ascii="Arial" w:hAnsi="Arial" w:cs="Arial"/>
        </w:rPr>
        <w:lastRenderedPageBreak/>
        <w:t xml:space="preserve">Souchon confirmed that the Arkema </w:t>
      </w:r>
      <w:r w:rsidR="000565FD" w:rsidRPr="000A6982">
        <w:rPr>
          <w:rFonts w:ascii="Arial" w:hAnsi="Arial" w:cs="Arial"/>
        </w:rPr>
        <w:t xml:space="preserve">SA </w:t>
      </w:r>
      <w:r w:rsidR="00DD6C4D" w:rsidRPr="000A6982">
        <w:rPr>
          <w:rFonts w:ascii="Arial" w:hAnsi="Arial" w:cs="Arial"/>
        </w:rPr>
        <w:t xml:space="preserve">consolidated </w:t>
      </w:r>
      <w:r w:rsidRPr="000A6982">
        <w:rPr>
          <w:rFonts w:ascii="Arial" w:hAnsi="Arial" w:cs="Arial"/>
        </w:rPr>
        <w:t>business (</w:t>
      </w:r>
      <w:r w:rsidR="00DD6C4D" w:rsidRPr="000A6982">
        <w:rPr>
          <w:rFonts w:ascii="Arial" w:hAnsi="Arial" w:cs="Arial"/>
        </w:rPr>
        <w:t>including both coatings and composites</w:t>
      </w:r>
      <w:r w:rsidRPr="000A6982">
        <w:rPr>
          <w:rFonts w:ascii="Arial" w:hAnsi="Arial" w:cs="Arial"/>
        </w:rPr>
        <w:t>) is profitable</w:t>
      </w:r>
      <w:r>
        <w:rPr>
          <w:rStyle w:val="FootnoteReference"/>
          <w:rFonts w:ascii="Arial" w:hAnsi="Arial" w:cs="Arial"/>
        </w:rPr>
        <w:footnoteReference w:id="77"/>
      </w:r>
      <w:r w:rsidRPr="000A6982">
        <w:rPr>
          <w:rFonts w:ascii="Arial" w:hAnsi="Arial" w:cs="Arial"/>
        </w:rPr>
        <w:t xml:space="preserve"> and </w:t>
      </w:r>
      <w:r w:rsidR="00AC7041">
        <w:rPr>
          <w:rFonts w:ascii="Arial" w:hAnsi="Arial" w:cs="Arial"/>
        </w:rPr>
        <w:t xml:space="preserve">that it </w:t>
      </w:r>
      <w:r w:rsidRPr="000A6982">
        <w:rPr>
          <w:rFonts w:ascii="Arial" w:hAnsi="Arial" w:cs="Arial"/>
        </w:rPr>
        <w:t xml:space="preserve">has improved its sales and profitability </w:t>
      </w:r>
      <w:r w:rsidR="00595D25" w:rsidRPr="000A6982">
        <w:rPr>
          <w:rFonts w:ascii="Arial" w:hAnsi="Arial" w:cs="Arial"/>
        </w:rPr>
        <w:t xml:space="preserve">(i.e. its </w:t>
      </w:r>
      <w:r w:rsidR="00AC7041" w:rsidRPr="00AC7041">
        <w:rPr>
          <w:rFonts w:ascii="Arial" w:hAnsi="Arial" w:cs="Arial"/>
        </w:rPr>
        <w:t xml:space="preserve">Earnings </w:t>
      </w:r>
      <w:proofErr w:type="gramStart"/>
      <w:r w:rsidR="00AC7041" w:rsidRPr="00AC7041">
        <w:rPr>
          <w:rFonts w:ascii="Arial" w:hAnsi="Arial" w:cs="Arial"/>
        </w:rPr>
        <w:t>Before</w:t>
      </w:r>
      <w:proofErr w:type="gramEnd"/>
      <w:r w:rsidR="00AC7041" w:rsidRPr="00AC7041">
        <w:rPr>
          <w:rFonts w:ascii="Arial" w:hAnsi="Arial" w:cs="Arial"/>
        </w:rPr>
        <w:t xml:space="preserve"> Interest, Taxes, Depreciation, and Amortization</w:t>
      </w:r>
      <w:r w:rsidR="00AC7041" w:rsidRPr="000A6982">
        <w:rPr>
          <w:rFonts w:ascii="Arial" w:hAnsi="Arial" w:cs="Arial"/>
        </w:rPr>
        <w:t xml:space="preserve"> </w:t>
      </w:r>
      <w:r w:rsidR="00AC7041">
        <w:rPr>
          <w:rFonts w:ascii="Arial" w:hAnsi="Arial" w:cs="Arial"/>
        </w:rPr>
        <w:t>(</w:t>
      </w:r>
      <w:r w:rsidR="00595D25" w:rsidRPr="000A6982">
        <w:rPr>
          <w:rFonts w:ascii="Arial" w:hAnsi="Arial" w:cs="Arial"/>
        </w:rPr>
        <w:t>EBITDA)</w:t>
      </w:r>
      <w:r w:rsidR="00AC7041">
        <w:rPr>
          <w:rFonts w:ascii="Arial" w:hAnsi="Arial" w:cs="Arial"/>
        </w:rPr>
        <w:t>)</w:t>
      </w:r>
      <w:r w:rsidR="00595D25" w:rsidRPr="000A6982">
        <w:rPr>
          <w:rFonts w:ascii="Arial" w:hAnsi="Arial" w:cs="Arial"/>
        </w:rPr>
        <w:t xml:space="preserve"> </w:t>
      </w:r>
      <w:r w:rsidRPr="000A6982">
        <w:rPr>
          <w:rFonts w:ascii="Arial" w:hAnsi="Arial" w:cs="Arial"/>
        </w:rPr>
        <w:t xml:space="preserve">in the last few years following a number of interventions </w:t>
      </w:r>
      <w:r w:rsidR="00AC7041">
        <w:rPr>
          <w:rFonts w:ascii="Arial" w:hAnsi="Arial" w:cs="Arial"/>
        </w:rPr>
        <w:t xml:space="preserve">aimed at </w:t>
      </w:r>
      <w:r w:rsidRPr="000A6982">
        <w:rPr>
          <w:rFonts w:ascii="Arial" w:hAnsi="Arial" w:cs="Arial"/>
        </w:rPr>
        <w:t>improv</w:t>
      </w:r>
      <w:r w:rsidR="00AC7041">
        <w:rPr>
          <w:rFonts w:ascii="Arial" w:hAnsi="Arial" w:cs="Arial"/>
        </w:rPr>
        <w:t>ing its</w:t>
      </w:r>
      <w:r w:rsidRPr="000A6982">
        <w:rPr>
          <w:rFonts w:ascii="Arial" w:hAnsi="Arial" w:cs="Arial"/>
        </w:rPr>
        <w:t xml:space="preserve"> performance.</w:t>
      </w:r>
      <w:r>
        <w:rPr>
          <w:rStyle w:val="FootnoteReference"/>
          <w:rFonts w:ascii="Arial" w:hAnsi="Arial" w:cs="Arial"/>
        </w:rPr>
        <w:footnoteReference w:id="78"/>
      </w:r>
      <w:r w:rsidRPr="000A6982">
        <w:rPr>
          <w:rFonts w:ascii="Arial" w:hAnsi="Arial" w:cs="Arial"/>
        </w:rPr>
        <w:t xml:space="preserve"> Whilst the composites division of Arkema </w:t>
      </w:r>
      <w:r w:rsidR="000565FD" w:rsidRPr="000A6982">
        <w:rPr>
          <w:rFonts w:ascii="Arial" w:hAnsi="Arial" w:cs="Arial"/>
        </w:rPr>
        <w:t xml:space="preserve">SA </w:t>
      </w:r>
      <w:r w:rsidRPr="000A6982">
        <w:rPr>
          <w:rFonts w:ascii="Arial" w:hAnsi="Arial" w:cs="Arial"/>
        </w:rPr>
        <w:t xml:space="preserve">has </w:t>
      </w:r>
      <w:r w:rsidR="00FE58AA">
        <w:rPr>
          <w:rFonts w:ascii="Arial" w:hAnsi="Arial" w:cs="Arial"/>
        </w:rPr>
        <w:t>[...]</w:t>
      </w:r>
      <w:r w:rsidRPr="000A6982">
        <w:rPr>
          <w:rFonts w:ascii="Arial" w:hAnsi="Arial" w:cs="Arial"/>
        </w:rPr>
        <w:t xml:space="preserve">, it contributes significantly to fixed costs and has furthermore improved its performance </w:t>
      </w:r>
      <w:r w:rsidR="00467DB9" w:rsidRPr="000A6982">
        <w:rPr>
          <w:rFonts w:ascii="Arial" w:hAnsi="Arial" w:cs="Arial"/>
        </w:rPr>
        <w:t xml:space="preserve">in certain </w:t>
      </w:r>
      <w:r w:rsidRPr="000A6982">
        <w:rPr>
          <w:rFonts w:ascii="Arial" w:hAnsi="Arial" w:cs="Arial"/>
        </w:rPr>
        <w:t>years.</w:t>
      </w:r>
      <w:r w:rsidR="00A625AE">
        <w:rPr>
          <w:rStyle w:val="FootnoteReference"/>
          <w:rFonts w:ascii="Arial" w:hAnsi="Arial" w:cs="Arial"/>
        </w:rPr>
        <w:footnoteReference w:id="79"/>
      </w:r>
      <w:r w:rsidRPr="000A6982">
        <w:rPr>
          <w:rFonts w:ascii="Arial" w:hAnsi="Arial" w:cs="Arial"/>
        </w:rPr>
        <w:t xml:space="preserve"> This improvement </w:t>
      </w:r>
      <w:r w:rsidR="004F0515" w:rsidRPr="000A6982">
        <w:rPr>
          <w:rFonts w:ascii="Arial" w:hAnsi="Arial" w:cs="Arial"/>
        </w:rPr>
        <w:t xml:space="preserve">is significant, thus far, in </w:t>
      </w:r>
      <w:r w:rsidRPr="000A6982">
        <w:rPr>
          <w:rFonts w:ascii="Arial" w:hAnsi="Arial" w:cs="Arial"/>
        </w:rPr>
        <w:t>2014</w:t>
      </w:r>
      <w:r w:rsidR="00A625AE" w:rsidRPr="000A6982">
        <w:rPr>
          <w:rFonts w:ascii="Arial" w:hAnsi="Arial" w:cs="Arial"/>
        </w:rPr>
        <w:t xml:space="preserve"> </w:t>
      </w:r>
      <w:r w:rsidR="004F0515" w:rsidRPr="000A6982">
        <w:rPr>
          <w:rFonts w:ascii="Arial" w:hAnsi="Arial" w:cs="Arial"/>
        </w:rPr>
        <w:t>compared to the</w:t>
      </w:r>
      <w:r w:rsidR="00244219" w:rsidRPr="000A6982">
        <w:rPr>
          <w:rFonts w:ascii="Arial" w:hAnsi="Arial" w:cs="Arial"/>
        </w:rPr>
        <w:t xml:space="preserve"> 2013</w:t>
      </w:r>
      <w:r w:rsidR="004F0515" w:rsidRPr="000A6982">
        <w:rPr>
          <w:rFonts w:ascii="Arial" w:hAnsi="Arial" w:cs="Arial"/>
        </w:rPr>
        <w:t xml:space="preserve"> results</w:t>
      </w:r>
      <w:r w:rsidRPr="000A6982">
        <w:rPr>
          <w:rFonts w:ascii="Arial" w:hAnsi="Arial" w:cs="Arial"/>
        </w:rPr>
        <w:t>.</w:t>
      </w:r>
      <w:r>
        <w:rPr>
          <w:rStyle w:val="FootnoteReference"/>
          <w:rFonts w:ascii="Arial" w:hAnsi="Arial" w:cs="Arial"/>
        </w:rPr>
        <w:footnoteReference w:id="80"/>
      </w:r>
      <w:r w:rsidRPr="000A6982">
        <w:rPr>
          <w:rFonts w:ascii="Arial" w:hAnsi="Arial" w:cs="Arial"/>
        </w:rPr>
        <w:t xml:space="preserve"> The </w:t>
      </w:r>
      <w:r w:rsidR="000565FD" w:rsidRPr="000A6982">
        <w:rPr>
          <w:rFonts w:ascii="Arial" w:hAnsi="Arial" w:cs="Arial"/>
        </w:rPr>
        <w:t xml:space="preserve">evidence </w:t>
      </w:r>
      <w:r w:rsidR="00A71CF2">
        <w:rPr>
          <w:rFonts w:ascii="Arial" w:hAnsi="Arial" w:cs="Arial"/>
        </w:rPr>
        <w:t xml:space="preserve">in essence </w:t>
      </w:r>
      <w:r w:rsidR="00F07FFD" w:rsidRPr="000A6982">
        <w:rPr>
          <w:rFonts w:ascii="Arial" w:hAnsi="Arial" w:cs="Arial"/>
        </w:rPr>
        <w:t>was</w:t>
      </w:r>
      <w:r w:rsidR="000565FD" w:rsidRPr="000A6982">
        <w:rPr>
          <w:rFonts w:ascii="Arial" w:hAnsi="Arial" w:cs="Arial"/>
        </w:rPr>
        <w:t xml:space="preserve"> that the </w:t>
      </w:r>
      <w:r w:rsidRPr="000A6982">
        <w:rPr>
          <w:rFonts w:ascii="Arial" w:hAnsi="Arial" w:cs="Arial"/>
        </w:rPr>
        <w:t>coatings and UPR division</w:t>
      </w:r>
      <w:r w:rsidR="001A5477">
        <w:rPr>
          <w:rFonts w:ascii="Arial" w:hAnsi="Arial" w:cs="Arial"/>
        </w:rPr>
        <w:t>s</w:t>
      </w:r>
      <w:r w:rsidRPr="000A6982">
        <w:rPr>
          <w:rFonts w:ascii="Arial" w:hAnsi="Arial" w:cs="Arial"/>
        </w:rPr>
        <w:t xml:space="preserve"> of Arkema SA are simply </w:t>
      </w:r>
      <w:r w:rsidR="00FE58AA">
        <w:rPr>
          <w:rFonts w:ascii="Arial" w:hAnsi="Arial" w:cs="Arial"/>
        </w:rPr>
        <w:t xml:space="preserve">[...] </w:t>
      </w:r>
      <w:r w:rsidRPr="000A6982">
        <w:rPr>
          <w:rFonts w:ascii="Arial" w:hAnsi="Arial" w:cs="Arial"/>
        </w:rPr>
        <w:t xml:space="preserve">the Arkema Group. The consolidated South African business (including both coatings and composites) has reflected an accounting profit, </w:t>
      </w:r>
      <w:r w:rsidR="00FE58AA">
        <w:rPr>
          <w:rFonts w:ascii="Arial" w:hAnsi="Arial" w:cs="Arial"/>
        </w:rPr>
        <w:t>[...]</w:t>
      </w:r>
      <w:r w:rsidRPr="000A6982">
        <w:rPr>
          <w:rFonts w:ascii="Arial" w:hAnsi="Arial" w:cs="Arial"/>
        </w:rPr>
        <w:t xml:space="preserve">.  </w:t>
      </w:r>
    </w:p>
    <w:p w:rsidR="003F0C19" w:rsidRDefault="003F0C19" w:rsidP="0080582B">
      <w:pPr>
        <w:pStyle w:val="ListParagraph"/>
        <w:numPr>
          <w:ilvl w:val="0"/>
          <w:numId w:val="2"/>
        </w:numPr>
        <w:spacing w:after="240" w:line="360" w:lineRule="auto"/>
        <w:ind w:left="0" w:firstLine="0"/>
        <w:jc w:val="both"/>
        <w:rPr>
          <w:rFonts w:ascii="Arial" w:hAnsi="Arial" w:cs="Arial"/>
        </w:rPr>
      </w:pPr>
      <w:r>
        <w:rPr>
          <w:rFonts w:ascii="Arial" w:hAnsi="Arial" w:cs="Arial"/>
        </w:rPr>
        <w:t xml:space="preserve">Furthermore, </w:t>
      </w:r>
      <w:r w:rsidRPr="00502547">
        <w:rPr>
          <w:rFonts w:ascii="Arial" w:hAnsi="Arial" w:cs="Arial"/>
        </w:rPr>
        <w:t>Leveugle</w:t>
      </w:r>
      <w:r>
        <w:rPr>
          <w:rFonts w:ascii="Arial" w:hAnsi="Arial" w:cs="Arial"/>
        </w:rPr>
        <w:t xml:space="preserve"> </w:t>
      </w:r>
      <w:r w:rsidR="00D3075F">
        <w:rPr>
          <w:rFonts w:ascii="Arial" w:hAnsi="Arial" w:cs="Arial"/>
        </w:rPr>
        <w:t>testified</w:t>
      </w:r>
      <w:r>
        <w:rPr>
          <w:rFonts w:ascii="Arial" w:hAnsi="Arial" w:cs="Arial"/>
        </w:rPr>
        <w:t xml:space="preserve"> </w:t>
      </w:r>
      <w:r w:rsidRPr="00502547">
        <w:rPr>
          <w:rFonts w:ascii="Arial" w:hAnsi="Arial" w:cs="Arial"/>
        </w:rPr>
        <w:t>that</w:t>
      </w:r>
      <w:r w:rsidR="000A6982">
        <w:rPr>
          <w:rFonts w:ascii="Arial" w:hAnsi="Arial" w:cs="Arial"/>
        </w:rPr>
        <w:t xml:space="preserve"> (i) </w:t>
      </w:r>
      <w:r w:rsidR="00B31375">
        <w:rPr>
          <w:rFonts w:ascii="Arial" w:hAnsi="Arial" w:cs="Arial"/>
        </w:rPr>
        <w:t>the decision-</w:t>
      </w:r>
      <w:r w:rsidRPr="00502547">
        <w:rPr>
          <w:rFonts w:ascii="Arial" w:hAnsi="Arial" w:cs="Arial"/>
        </w:rPr>
        <w:t xml:space="preserve">making body </w:t>
      </w:r>
      <w:r>
        <w:rPr>
          <w:rFonts w:ascii="Arial" w:hAnsi="Arial" w:cs="Arial"/>
        </w:rPr>
        <w:t>regarding Arkema</w:t>
      </w:r>
      <w:r w:rsidR="000A6982">
        <w:rPr>
          <w:rFonts w:ascii="Arial" w:hAnsi="Arial" w:cs="Arial"/>
        </w:rPr>
        <w:t xml:space="preserve"> SA</w:t>
      </w:r>
      <w:r>
        <w:rPr>
          <w:rFonts w:ascii="Arial" w:hAnsi="Arial" w:cs="Arial"/>
        </w:rPr>
        <w:t xml:space="preserve">’s future </w:t>
      </w:r>
      <w:r w:rsidRPr="00502547">
        <w:rPr>
          <w:rFonts w:ascii="Arial" w:hAnsi="Arial" w:cs="Arial"/>
        </w:rPr>
        <w:t>is the Executive Committee of Arkema France</w:t>
      </w:r>
      <w:r w:rsidR="000A6982">
        <w:rPr>
          <w:rFonts w:ascii="Arial" w:hAnsi="Arial" w:cs="Arial"/>
        </w:rPr>
        <w:t>;</w:t>
      </w:r>
      <w:r w:rsidRPr="00502547">
        <w:rPr>
          <w:rFonts w:ascii="Arial" w:hAnsi="Arial" w:cs="Arial"/>
        </w:rPr>
        <w:t xml:space="preserve"> </w:t>
      </w:r>
      <w:r w:rsidR="000A6982">
        <w:rPr>
          <w:rFonts w:ascii="Arial" w:hAnsi="Arial" w:cs="Arial"/>
        </w:rPr>
        <w:t xml:space="preserve">(ii) </w:t>
      </w:r>
      <w:r w:rsidRPr="00502547">
        <w:rPr>
          <w:rFonts w:ascii="Arial" w:hAnsi="Arial" w:cs="Arial"/>
        </w:rPr>
        <w:t>he does not sit on that Committee</w:t>
      </w:r>
      <w:r w:rsidR="000A6982">
        <w:rPr>
          <w:rFonts w:ascii="Arial" w:hAnsi="Arial" w:cs="Arial"/>
        </w:rPr>
        <w:t xml:space="preserve">; and (iii) </w:t>
      </w:r>
      <w:r w:rsidR="00A71CF2" w:rsidRPr="00502547">
        <w:rPr>
          <w:rFonts w:ascii="Arial" w:hAnsi="Arial" w:cs="Arial"/>
        </w:rPr>
        <w:t xml:space="preserve">the Executive Committee </w:t>
      </w:r>
      <w:r>
        <w:rPr>
          <w:rFonts w:ascii="Arial" w:hAnsi="Arial" w:cs="Arial"/>
        </w:rPr>
        <w:t xml:space="preserve">has taken no </w:t>
      </w:r>
      <w:r w:rsidR="004E4517">
        <w:rPr>
          <w:rFonts w:ascii="Arial" w:hAnsi="Arial" w:cs="Arial"/>
        </w:rPr>
        <w:t xml:space="preserve">formal </w:t>
      </w:r>
      <w:r>
        <w:rPr>
          <w:rFonts w:ascii="Arial" w:hAnsi="Arial" w:cs="Arial"/>
        </w:rPr>
        <w:t xml:space="preserve">decision regarding the alleged potential </w:t>
      </w:r>
      <w:r w:rsidR="00C34145">
        <w:rPr>
          <w:rFonts w:ascii="Arial" w:hAnsi="Arial" w:cs="Arial"/>
        </w:rPr>
        <w:t>[...]</w:t>
      </w:r>
      <w:r>
        <w:rPr>
          <w:rFonts w:ascii="Arial" w:hAnsi="Arial" w:cs="Arial"/>
        </w:rPr>
        <w:t>.</w:t>
      </w:r>
      <w:r>
        <w:rPr>
          <w:rStyle w:val="FootnoteReference"/>
          <w:rFonts w:ascii="Arial" w:hAnsi="Arial" w:cs="Arial"/>
        </w:rPr>
        <w:footnoteReference w:id="81"/>
      </w:r>
    </w:p>
    <w:p w:rsidR="003F0C19" w:rsidRPr="0072676C" w:rsidRDefault="003F0C19" w:rsidP="0080582B">
      <w:pPr>
        <w:pStyle w:val="ListParagraph"/>
        <w:numPr>
          <w:ilvl w:val="0"/>
          <w:numId w:val="2"/>
        </w:numPr>
        <w:spacing w:after="240" w:line="360" w:lineRule="auto"/>
        <w:ind w:left="0" w:firstLine="0"/>
        <w:jc w:val="both"/>
        <w:rPr>
          <w:rFonts w:ascii="Arial" w:hAnsi="Arial" w:cs="Arial"/>
        </w:rPr>
      </w:pPr>
      <w:r w:rsidRPr="0072676C">
        <w:rPr>
          <w:rFonts w:ascii="Arial" w:hAnsi="Arial" w:cs="Arial"/>
        </w:rPr>
        <w:t>Arkema launched it</w:t>
      </w:r>
      <w:r w:rsidR="0063012D" w:rsidRPr="0072676C">
        <w:rPr>
          <w:rFonts w:ascii="Arial" w:hAnsi="Arial" w:cs="Arial"/>
        </w:rPr>
        <w:t>s</w:t>
      </w:r>
      <w:r w:rsidRPr="0072676C">
        <w:rPr>
          <w:rFonts w:ascii="Arial" w:hAnsi="Arial" w:cs="Arial"/>
        </w:rPr>
        <w:t xml:space="preserve"> initiative to dispose of Arkema SA in July 2013.</w:t>
      </w:r>
      <w:r w:rsidR="00C34598">
        <w:rPr>
          <w:rStyle w:val="FootnoteReference"/>
          <w:rFonts w:ascii="Arial" w:hAnsi="Arial" w:cs="Arial"/>
        </w:rPr>
        <w:footnoteReference w:id="82"/>
      </w:r>
      <w:r w:rsidRPr="0072676C">
        <w:rPr>
          <w:rFonts w:ascii="Arial" w:hAnsi="Arial" w:cs="Arial"/>
        </w:rPr>
        <w:t xml:space="preserve"> </w:t>
      </w:r>
      <w:r w:rsidR="001E1F98">
        <w:rPr>
          <w:rFonts w:ascii="Arial" w:hAnsi="Arial" w:cs="Arial"/>
        </w:rPr>
        <w:t>T</w:t>
      </w:r>
      <w:r w:rsidRPr="0072676C">
        <w:rPr>
          <w:rFonts w:ascii="Arial" w:hAnsi="Arial" w:cs="Arial"/>
        </w:rPr>
        <w:t xml:space="preserve">he Arkema business was </w:t>
      </w:r>
      <w:r w:rsidR="001E1F98">
        <w:rPr>
          <w:rFonts w:ascii="Arial" w:hAnsi="Arial" w:cs="Arial"/>
        </w:rPr>
        <w:t>h</w:t>
      </w:r>
      <w:r w:rsidR="001E1F98" w:rsidRPr="0072676C">
        <w:rPr>
          <w:rFonts w:ascii="Arial" w:hAnsi="Arial" w:cs="Arial"/>
        </w:rPr>
        <w:t>owever</w:t>
      </w:r>
      <w:r w:rsidR="001E1F98">
        <w:rPr>
          <w:rFonts w:ascii="Arial" w:hAnsi="Arial" w:cs="Arial"/>
        </w:rPr>
        <w:t xml:space="preserve"> </w:t>
      </w:r>
      <w:r w:rsidRPr="0072676C">
        <w:rPr>
          <w:rFonts w:ascii="Arial" w:hAnsi="Arial" w:cs="Arial"/>
        </w:rPr>
        <w:t xml:space="preserve">never advertised for sale. </w:t>
      </w:r>
      <w:r w:rsidR="00C34145">
        <w:rPr>
          <w:rFonts w:ascii="Arial" w:hAnsi="Arial" w:cs="Arial"/>
        </w:rPr>
        <w:t>[...]</w:t>
      </w:r>
      <w:r w:rsidR="008013E6">
        <w:rPr>
          <w:rFonts w:ascii="Arial" w:hAnsi="Arial" w:cs="Arial"/>
        </w:rPr>
        <w:t xml:space="preserve"> </w:t>
      </w:r>
      <w:r w:rsidRPr="0072676C">
        <w:rPr>
          <w:rFonts w:ascii="Arial" w:hAnsi="Arial" w:cs="Arial"/>
        </w:rPr>
        <w:t xml:space="preserve">indicated that </w:t>
      </w:r>
      <w:r w:rsidR="00C34145">
        <w:rPr>
          <w:rFonts w:ascii="Arial" w:hAnsi="Arial" w:cs="Arial"/>
        </w:rPr>
        <w:t>[...]</w:t>
      </w:r>
      <w:r w:rsidR="008013E6">
        <w:rPr>
          <w:rFonts w:ascii="Arial" w:hAnsi="Arial" w:cs="Arial"/>
        </w:rPr>
        <w:t xml:space="preserve"> </w:t>
      </w:r>
      <w:r w:rsidRPr="0072676C">
        <w:rPr>
          <w:rFonts w:ascii="Arial" w:hAnsi="Arial" w:cs="Arial"/>
        </w:rPr>
        <w:t xml:space="preserve">certainly would be </w:t>
      </w:r>
      <w:r w:rsidR="00C34145">
        <w:rPr>
          <w:rFonts w:ascii="Arial" w:hAnsi="Arial" w:cs="Arial"/>
        </w:rPr>
        <w:t xml:space="preserve">[...] </w:t>
      </w:r>
      <w:r w:rsidRPr="0072676C">
        <w:rPr>
          <w:rFonts w:ascii="Arial" w:hAnsi="Arial" w:cs="Arial"/>
        </w:rPr>
        <w:t xml:space="preserve">and would </w:t>
      </w:r>
      <w:r w:rsidR="00C34145">
        <w:rPr>
          <w:rFonts w:ascii="Arial" w:hAnsi="Arial" w:cs="Arial"/>
        </w:rPr>
        <w:t>[...]</w:t>
      </w:r>
      <w:r w:rsidR="00B24812">
        <w:rPr>
          <w:rFonts w:ascii="Arial" w:hAnsi="Arial" w:cs="Arial"/>
        </w:rPr>
        <w:t>. Further,</w:t>
      </w:r>
      <w:r w:rsidRPr="0072676C">
        <w:rPr>
          <w:rFonts w:ascii="Arial" w:hAnsi="Arial" w:cs="Arial"/>
        </w:rPr>
        <w:t xml:space="preserve"> </w:t>
      </w:r>
      <w:r w:rsidR="00B24812">
        <w:rPr>
          <w:rFonts w:ascii="Arial" w:hAnsi="Arial" w:cs="Arial"/>
        </w:rPr>
        <w:t>he appeared to</w:t>
      </w:r>
      <w:r w:rsidR="00844994" w:rsidRPr="0072676C">
        <w:rPr>
          <w:rFonts w:ascii="Arial" w:hAnsi="Arial" w:cs="Arial"/>
        </w:rPr>
        <w:t xml:space="preserve"> have the</w:t>
      </w:r>
      <w:r w:rsidR="00B24812">
        <w:rPr>
          <w:rFonts w:ascii="Arial" w:hAnsi="Arial" w:cs="Arial"/>
        </w:rPr>
        <w:t xml:space="preserve"> necessary</w:t>
      </w:r>
      <w:r w:rsidR="00844994" w:rsidRPr="0072676C">
        <w:rPr>
          <w:rFonts w:ascii="Arial" w:hAnsi="Arial" w:cs="Arial"/>
        </w:rPr>
        <w:t xml:space="preserve"> financial backing, </w:t>
      </w:r>
      <w:r w:rsidRPr="0072676C">
        <w:rPr>
          <w:rFonts w:ascii="Arial" w:hAnsi="Arial" w:cs="Arial"/>
        </w:rPr>
        <w:t>but</w:t>
      </w:r>
      <w:r w:rsidR="00B24812">
        <w:rPr>
          <w:rFonts w:ascii="Arial" w:hAnsi="Arial" w:cs="Arial"/>
        </w:rPr>
        <w:t xml:space="preserve"> due to the</w:t>
      </w:r>
      <w:r w:rsidRPr="0072676C">
        <w:rPr>
          <w:rFonts w:ascii="Arial" w:hAnsi="Arial" w:cs="Arial"/>
        </w:rPr>
        <w:t xml:space="preserve"> unfortunate</w:t>
      </w:r>
      <w:r w:rsidR="00B24812">
        <w:rPr>
          <w:rFonts w:ascii="Arial" w:hAnsi="Arial" w:cs="Arial"/>
        </w:rPr>
        <w:t xml:space="preserve"> fact that he</w:t>
      </w:r>
      <w:r w:rsidRPr="0072676C">
        <w:rPr>
          <w:rFonts w:ascii="Arial" w:hAnsi="Arial" w:cs="Arial"/>
        </w:rPr>
        <w:t xml:space="preserve"> was not aware of the business </w:t>
      </w:r>
      <w:r w:rsidR="00B24812">
        <w:rPr>
          <w:rFonts w:ascii="Arial" w:hAnsi="Arial" w:cs="Arial"/>
        </w:rPr>
        <w:t>being</w:t>
      </w:r>
      <w:r w:rsidR="00B24812" w:rsidRPr="0072676C">
        <w:rPr>
          <w:rFonts w:ascii="Arial" w:hAnsi="Arial" w:cs="Arial"/>
        </w:rPr>
        <w:t xml:space="preserve"> </w:t>
      </w:r>
      <w:r w:rsidRPr="0072676C">
        <w:rPr>
          <w:rFonts w:ascii="Arial" w:hAnsi="Arial" w:cs="Arial"/>
        </w:rPr>
        <w:t>for sale</w:t>
      </w:r>
      <w:r w:rsidR="00B24812">
        <w:rPr>
          <w:rFonts w:ascii="Arial" w:hAnsi="Arial" w:cs="Arial"/>
        </w:rPr>
        <w:t>, he was never able to make an offer</w:t>
      </w:r>
      <w:r w:rsidRPr="0072676C">
        <w:rPr>
          <w:rFonts w:ascii="Arial" w:hAnsi="Arial" w:cs="Arial"/>
        </w:rPr>
        <w:t>.</w:t>
      </w:r>
      <w:r w:rsidRPr="009D1425">
        <w:rPr>
          <w:rStyle w:val="FootnoteReference"/>
          <w:rFonts w:ascii="Arial" w:hAnsi="Arial" w:cs="Arial"/>
        </w:rPr>
        <w:footnoteReference w:id="83"/>
      </w:r>
      <w:r w:rsidR="008013E6">
        <w:rPr>
          <w:rFonts w:ascii="Arial" w:hAnsi="Arial" w:cs="Arial"/>
        </w:rPr>
        <w:t xml:space="preserve"> </w:t>
      </w:r>
      <w:r w:rsidRPr="0072676C">
        <w:rPr>
          <w:rFonts w:ascii="Arial" w:hAnsi="Arial" w:cs="Arial"/>
        </w:rPr>
        <w:t xml:space="preserve">We further note that the Commission </w:t>
      </w:r>
      <w:r w:rsidR="0072676C">
        <w:rPr>
          <w:rFonts w:ascii="Arial" w:hAnsi="Arial" w:cs="Arial"/>
        </w:rPr>
        <w:t>indicated</w:t>
      </w:r>
      <w:r w:rsidRPr="0072676C">
        <w:rPr>
          <w:rFonts w:ascii="Arial" w:hAnsi="Arial" w:cs="Arial"/>
        </w:rPr>
        <w:t xml:space="preserve"> that Arkema had other options available to it absent the merger,</w:t>
      </w:r>
      <w:r w:rsidR="003B2BC6">
        <w:rPr>
          <w:rStyle w:val="FootnoteReference"/>
          <w:rFonts w:ascii="Arial" w:hAnsi="Arial" w:cs="Arial"/>
        </w:rPr>
        <w:footnoteReference w:id="84"/>
      </w:r>
      <w:r w:rsidRPr="0072676C">
        <w:rPr>
          <w:rFonts w:ascii="Arial" w:hAnsi="Arial" w:cs="Arial"/>
        </w:rPr>
        <w:t xml:space="preserve"> specifically that </w:t>
      </w:r>
      <w:r w:rsidR="00F33ED2">
        <w:rPr>
          <w:rFonts w:ascii="Arial" w:hAnsi="Arial" w:cs="Arial"/>
        </w:rPr>
        <w:t>[...]</w:t>
      </w:r>
      <w:r w:rsidRPr="0072676C">
        <w:rPr>
          <w:rFonts w:ascii="Arial" w:hAnsi="Arial" w:cs="Arial"/>
        </w:rPr>
        <w:t xml:space="preserve"> </w:t>
      </w:r>
      <w:r w:rsidR="00B31375">
        <w:rPr>
          <w:rFonts w:ascii="Arial" w:hAnsi="Arial" w:cs="Arial"/>
        </w:rPr>
        <w:t>had (and still has)</w:t>
      </w:r>
      <w:r w:rsidRPr="0072676C">
        <w:rPr>
          <w:rFonts w:ascii="Arial" w:hAnsi="Arial" w:cs="Arial"/>
        </w:rPr>
        <w:t xml:space="preserve"> a real interest in acquiring the entire Arkema business</w:t>
      </w:r>
      <w:r w:rsidR="001E1F98">
        <w:rPr>
          <w:rStyle w:val="FootnoteReference"/>
          <w:rFonts w:ascii="Arial" w:hAnsi="Arial" w:cs="Arial"/>
        </w:rPr>
        <w:footnoteReference w:id="85"/>
      </w:r>
      <w:r w:rsidR="0072676C">
        <w:rPr>
          <w:rFonts w:ascii="Arial" w:hAnsi="Arial" w:cs="Arial"/>
        </w:rPr>
        <w:t xml:space="preserve"> (also see paragraph </w:t>
      </w:r>
      <w:r w:rsidR="0088378C" w:rsidRPr="008279F7">
        <w:rPr>
          <w:rFonts w:ascii="Arial" w:hAnsi="Arial" w:cs="Arial"/>
        </w:rPr>
        <w:t>17.</w:t>
      </w:r>
      <w:r w:rsidR="003A2F45" w:rsidRPr="008279F7">
        <w:rPr>
          <w:rFonts w:ascii="Arial" w:hAnsi="Arial" w:cs="Arial"/>
        </w:rPr>
        <w:t>9</w:t>
      </w:r>
      <w:r w:rsidR="0072676C" w:rsidRPr="008279F7">
        <w:rPr>
          <w:rFonts w:ascii="Arial" w:hAnsi="Arial" w:cs="Arial"/>
        </w:rPr>
        <w:t xml:space="preserve"> above)</w:t>
      </w:r>
      <w:r w:rsidRPr="008279F7">
        <w:rPr>
          <w:rFonts w:ascii="Arial" w:hAnsi="Arial" w:cs="Arial"/>
        </w:rPr>
        <w:t>.</w:t>
      </w:r>
      <w:r w:rsidRPr="0072676C">
        <w:rPr>
          <w:rFonts w:ascii="Arial" w:hAnsi="Arial" w:cs="Arial"/>
        </w:rPr>
        <w:t xml:space="preserve"> </w:t>
      </w:r>
    </w:p>
    <w:p w:rsidR="003F0C19" w:rsidRDefault="003F0C19" w:rsidP="0080582B">
      <w:pPr>
        <w:pStyle w:val="ListParagraph"/>
        <w:numPr>
          <w:ilvl w:val="0"/>
          <w:numId w:val="2"/>
        </w:numPr>
        <w:spacing w:after="240" w:line="360" w:lineRule="auto"/>
        <w:ind w:left="0" w:firstLine="0"/>
        <w:jc w:val="both"/>
        <w:rPr>
          <w:rFonts w:ascii="Arial" w:hAnsi="Arial" w:cs="Arial"/>
        </w:rPr>
      </w:pPr>
      <w:r>
        <w:rPr>
          <w:rFonts w:ascii="Arial" w:hAnsi="Arial" w:cs="Arial"/>
        </w:rPr>
        <w:t>We have found no compelling evidence that the</w:t>
      </w:r>
      <w:r w:rsidRPr="002E1654">
        <w:rPr>
          <w:rFonts w:ascii="Arial" w:hAnsi="Arial" w:cs="Arial"/>
        </w:rPr>
        <w:t xml:space="preserve"> </w:t>
      </w:r>
      <w:r>
        <w:rPr>
          <w:rFonts w:ascii="Arial" w:hAnsi="Arial" w:cs="Arial"/>
        </w:rPr>
        <w:t xml:space="preserve">relevant </w:t>
      </w:r>
      <w:r w:rsidRPr="002E1654">
        <w:rPr>
          <w:rFonts w:ascii="Arial" w:hAnsi="Arial" w:cs="Arial"/>
        </w:rPr>
        <w:t xml:space="preserve">counterfactual </w:t>
      </w:r>
      <w:r>
        <w:rPr>
          <w:rFonts w:ascii="Arial" w:hAnsi="Arial" w:cs="Arial"/>
        </w:rPr>
        <w:t xml:space="preserve">against which to assess the competitive effects of </w:t>
      </w:r>
      <w:r w:rsidR="0088378C">
        <w:rPr>
          <w:rFonts w:ascii="Arial" w:hAnsi="Arial" w:cs="Arial"/>
        </w:rPr>
        <w:t xml:space="preserve">the </w:t>
      </w:r>
      <w:r>
        <w:rPr>
          <w:rFonts w:ascii="Arial" w:hAnsi="Arial" w:cs="Arial"/>
        </w:rPr>
        <w:t xml:space="preserve">proposed merger should not be </w:t>
      </w:r>
      <w:r w:rsidR="001E1F98">
        <w:rPr>
          <w:rFonts w:ascii="Arial" w:hAnsi="Arial" w:cs="Arial"/>
        </w:rPr>
        <w:t xml:space="preserve">regarded </w:t>
      </w:r>
      <w:r w:rsidR="001E1F98">
        <w:rPr>
          <w:rFonts w:ascii="Arial" w:hAnsi="Arial" w:cs="Arial"/>
        </w:rPr>
        <w:lastRenderedPageBreak/>
        <w:t xml:space="preserve">as </w:t>
      </w:r>
      <w:r w:rsidRPr="002E1654">
        <w:rPr>
          <w:rFonts w:ascii="Arial" w:hAnsi="Arial" w:cs="Arial"/>
        </w:rPr>
        <w:t xml:space="preserve">the pre-merger situation </w:t>
      </w:r>
      <w:r>
        <w:rPr>
          <w:rFonts w:ascii="Arial" w:hAnsi="Arial" w:cs="Arial"/>
        </w:rPr>
        <w:t>o</w:t>
      </w:r>
      <w:r w:rsidRPr="002E1654">
        <w:rPr>
          <w:rFonts w:ascii="Arial" w:hAnsi="Arial" w:cs="Arial"/>
        </w:rPr>
        <w:t xml:space="preserve">r </w:t>
      </w:r>
      <w:r w:rsidR="0072676C">
        <w:rPr>
          <w:rFonts w:ascii="Arial" w:hAnsi="Arial" w:cs="Arial"/>
        </w:rPr>
        <w:t xml:space="preserve">the </w:t>
      </w:r>
      <w:r w:rsidRPr="00740EAD">
        <w:rPr>
          <w:rFonts w:ascii="Arial" w:hAnsi="Arial" w:cs="Arial"/>
          <w:i/>
        </w:rPr>
        <w:t>status quo ante</w:t>
      </w:r>
      <w:r>
        <w:rPr>
          <w:rFonts w:ascii="Arial" w:hAnsi="Arial" w:cs="Arial"/>
        </w:rPr>
        <w:t xml:space="preserve">. </w:t>
      </w:r>
      <w:r w:rsidR="0072676C">
        <w:rPr>
          <w:rFonts w:ascii="Arial" w:hAnsi="Arial" w:cs="Arial"/>
        </w:rPr>
        <w:t xml:space="preserve">As </w:t>
      </w:r>
      <w:r w:rsidR="001E1F98">
        <w:rPr>
          <w:rFonts w:ascii="Arial" w:hAnsi="Arial" w:cs="Arial"/>
        </w:rPr>
        <w:t>indicated</w:t>
      </w:r>
      <w:r w:rsidR="0072676C">
        <w:rPr>
          <w:rFonts w:ascii="Arial" w:hAnsi="Arial" w:cs="Arial"/>
        </w:rPr>
        <w:t xml:space="preserve"> in paragraph </w:t>
      </w:r>
      <w:r w:rsidR="0088378C" w:rsidRPr="008279F7">
        <w:rPr>
          <w:rFonts w:ascii="Arial" w:hAnsi="Arial" w:cs="Arial"/>
        </w:rPr>
        <w:t>6</w:t>
      </w:r>
      <w:r w:rsidR="003A2F45" w:rsidRPr="008279F7">
        <w:rPr>
          <w:rFonts w:ascii="Arial" w:hAnsi="Arial" w:cs="Arial"/>
        </w:rPr>
        <w:t>3</w:t>
      </w:r>
      <w:r w:rsidR="0072676C" w:rsidRPr="008279F7">
        <w:rPr>
          <w:rFonts w:ascii="Arial" w:hAnsi="Arial" w:cs="Arial"/>
        </w:rPr>
        <w:t xml:space="preserve"> above</w:t>
      </w:r>
      <w:r w:rsidR="0072676C">
        <w:rPr>
          <w:rFonts w:ascii="Arial" w:hAnsi="Arial" w:cs="Arial"/>
        </w:rPr>
        <w:t xml:space="preserve">, the set of conditions that we have imposed adequately addresses the competition concerns resulting from the proposed merger based on this </w:t>
      </w:r>
      <w:r w:rsidR="00D33C87">
        <w:rPr>
          <w:rFonts w:ascii="Arial" w:hAnsi="Arial" w:cs="Arial"/>
        </w:rPr>
        <w:t xml:space="preserve">as </w:t>
      </w:r>
      <w:r w:rsidR="001A5477">
        <w:rPr>
          <w:rFonts w:ascii="Arial" w:hAnsi="Arial" w:cs="Arial"/>
        </w:rPr>
        <w:t xml:space="preserve">the </w:t>
      </w:r>
      <w:r w:rsidR="0072676C">
        <w:rPr>
          <w:rFonts w:ascii="Arial" w:hAnsi="Arial" w:cs="Arial"/>
        </w:rPr>
        <w:t>counterfactual</w:t>
      </w:r>
      <w:r>
        <w:rPr>
          <w:rFonts w:ascii="Arial" w:hAnsi="Arial" w:cs="Arial"/>
        </w:rPr>
        <w:t>.</w:t>
      </w:r>
    </w:p>
    <w:p w:rsidR="00083529" w:rsidRDefault="00083529" w:rsidP="0080582B">
      <w:pPr>
        <w:pStyle w:val="ListParagraph"/>
        <w:numPr>
          <w:ilvl w:val="0"/>
          <w:numId w:val="2"/>
        </w:numPr>
        <w:spacing w:after="240" w:line="360" w:lineRule="auto"/>
        <w:ind w:left="0" w:firstLine="0"/>
        <w:jc w:val="both"/>
        <w:rPr>
          <w:rFonts w:ascii="Arial" w:hAnsi="Arial" w:cs="Arial"/>
        </w:rPr>
      </w:pPr>
      <w:r>
        <w:rPr>
          <w:rFonts w:ascii="Arial" w:hAnsi="Arial" w:cs="Arial"/>
        </w:rPr>
        <w:t xml:space="preserve">We next deal with the assessment </w:t>
      </w:r>
      <w:r w:rsidR="00D33C87">
        <w:rPr>
          <w:rFonts w:ascii="Arial" w:hAnsi="Arial" w:cs="Arial"/>
        </w:rPr>
        <w:t xml:space="preserve">of the likely </w:t>
      </w:r>
      <w:r w:rsidR="001E1F98">
        <w:rPr>
          <w:rFonts w:ascii="Arial" w:hAnsi="Arial" w:cs="Arial"/>
        </w:rPr>
        <w:t xml:space="preserve">competitive </w:t>
      </w:r>
      <w:r w:rsidR="00D33C87">
        <w:rPr>
          <w:rFonts w:ascii="Arial" w:hAnsi="Arial" w:cs="Arial"/>
        </w:rPr>
        <w:t xml:space="preserve">effects of the proposed </w:t>
      </w:r>
      <w:r w:rsidR="001A5477">
        <w:rPr>
          <w:rFonts w:ascii="Arial" w:hAnsi="Arial" w:cs="Arial"/>
        </w:rPr>
        <w:t>merger</w:t>
      </w:r>
      <w:r w:rsidR="00A85548">
        <w:rPr>
          <w:rFonts w:ascii="Arial" w:hAnsi="Arial" w:cs="Arial"/>
        </w:rPr>
        <w:t xml:space="preserve">, starting with </w:t>
      </w:r>
      <w:r w:rsidR="00D33C87">
        <w:rPr>
          <w:rFonts w:ascii="Arial" w:hAnsi="Arial" w:cs="Arial"/>
        </w:rPr>
        <w:t>t</w:t>
      </w:r>
      <w:r>
        <w:rPr>
          <w:rFonts w:ascii="Arial" w:hAnsi="Arial" w:cs="Arial"/>
        </w:rPr>
        <w:t>he market for the production and sale of mining resin.</w:t>
      </w:r>
    </w:p>
    <w:p w:rsidR="00931903" w:rsidRPr="00DC1740" w:rsidRDefault="00A85548" w:rsidP="00931903">
      <w:pPr>
        <w:pStyle w:val="ListParagraph"/>
        <w:spacing w:after="240" w:line="360" w:lineRule="auto"/>
        <w:ind w:left="0"/>
        <w:jc w:val="both"/>
        <w:rPr>
          <w:rFonts w:ascii="Arial" w:hAnsi="Arial" w:cs="Arial"/>
          <w:b/>
        </w:rPr>
      </w:pPr>
      <w:r>
        <w:rPr>
          <w:rFonts w:ascii="Arial" w:hAnsi="Arial" w:cs="Arial"/>
          <w:b/>
        </w:rPr>
        <w:t>Production and sale of m</w:t>
      </w:r>
      <w:r w:rsidR="00931903" w:rsidRPr="00DC1740">
        <w:rPr>
          <w:rFonts w:ascii="Arial" w:hAnsi="Arial" w:cs="Arial"/>
          <w:b/>
        </w:rPr>
        <w:t>ining UPR</w:t>
      </w:r>
    </w:p>
    <w:p w:rsidR="00931903" w:rsidRDefault="00931903" w:rsidP="0080582B">
      <w:pPr>
        <w:pStyle w:val="ListParagraph"/>
        <w:numPr>
          <w:ilvl w:val="0"/>
          <w:numId w:val="2"/>
        </w:numPr>
        <w:spacing w:after="240" w:line="360" w:lineRule="auto"/>
        <w:ind w:left="0" w:firstLine="0"/>
        <w:jc w:val="both"/>
        <w:rPr>
          <w:rFonts w:ascii="Arial" w:hAnsi="Arial" w:cs="Arial"/>
        </w:rPr>
      </w:pPr>
      <w:r w:rsidRPr="00061526">
        <w:rPr>
          <w:rFonts w:ascii="Arial" w:hAnsi="Arial" w:cs="Arial"/>
        </w:rPr>
        <w:t xml:space="preserve">In respect of the mining </w:t>
      </w:r>
      <w:r w:rsidR="00A85548">
        <w:rPr>
          <w:rFonts w:ascii="Arial" w:hAnsi="Arial" w:cs="Arial"/>
        </w:rPr>
        <w:t xml:space="preserve">UPR </w:t>
      </w:r>
      <w:r w:rsidR="001E1F98">
        <w:rPr>
          <w:rFonts w:ascii="Arial" w:hAnsi="Arial" w:cs="Arial"/>
        </w:rPr>
        <w:t>market</w:t>
      </w:r>
      <w:r w:rsidR="00B31375">
        <w:rPr>
          <w:rFonts w:ascii="Arial" w:hAnsi="Arial" w:cs="Arial"/>
        </w:rPr>
        <w:t>,</w:t>
      </w:r>
      <w:r w:rsidRPr="00061526">
        <w:rPr>
          <w:rFonts w:ascii="Arial" w:hAnsi="Arial" w:cs="Arial"/>
        </w:rPr>
        <w:t xml:space="preserve"> the Commission</w:t>
      </w:r>
      <w:r w:rsidR="00160ED8">
        <w:rPr>
          <w:rFonts w:ascii="Arial" w:hAnsi="Arial" w:cs="Arial"/>
        </w:rPr>
        <w:t>,</w:t>
      </w:r>
      <w:r w:rsidRPr="00061526">
        <w:rPr>
          <w:rFonts w:ascii="Arial" w:hAnsi="Arial" w:cs="Arial"/>
        </w:rPr>
        <w:t xml:space="preserve"> after investigation of the </w:t>
      </w:r>
      <w:r w:rsidR="008A2962">
        <w:rPr>
          <w:rFonts w:ascii="Arial" w:hAnsi="Arial" w:cs="Arial"/>
        </w:rPr>
        <w:t xml:space="preserve">proposed </w:t>
      </w:r>
      <w:r w:rsidRPr="00061526">
        <w:rPr>
          <w:rFonts w:ascii="Arial" w:hAnsi="Arial" w:cs="Arial"/>
        </w:rPr>
        <w:t>merger</w:t>
      </w:r>
      <w:r w:rsidR="00160ED8">
        <w:rPr>
          <w:rFonts w:ascii="Arial" w:hAnsi="Arial" w:cs="Arial"/>
        </w:rPr>
        <w:t>,</w:t>
      </w:r>
      <w:r w:rsidRPr="00061526">
        <w:rPr>
          <w:rFonts w:ascii="Arial" w:hAnsi="Arial" w:cs="Arial"/>
        </w:rPr>
        <w:t xml:space="preserve"> found that </w:t>
      </w:r>
      <w:r w:rsidR="008A2962" w:rsidRPr="00061526">
        <w:rPr>
          <w:rFonts w:ascii="Arial" w:hAnsi="Arial" w:cs="Arial"/>
        </w:rPr>
        <w:t xml:space="preserve">NCS and </w:t>
      </w:r>
      <w:r w:rsidRPr="00061526">
        <w:rPr>
          <w:rFonts w:ascii="Arial" w:hAnsi="Arial" w:cs="Arial"/>
        </w:rPr>
        <w:t xml:space="preserve">Arkema SA were the only two local </w:t>
      </w:r>
      <w:r w:rsidR="008A2962">
        <w:rPr>
          <w:rFonts w:ascii="Arial" w:hAnsi="Arial" w:cs="Arial"/>
        </w:rPr>
        <w:t xml:space="preserve">UPR </w:t>
      </w:r>
      <w:r w:rsidRPr="00061526">
        <w:rPr>
          <w:rFonts w:ascii="Arial" w:hAnsi="Arial" w:cs="Arial"/>
        </w:rPr>
        <w:t xml:space="preserve">manufacturers </w:t>
      </w:r>
      <w:r w:rsidR="00ED0CDD">
        <w:rPr>
          <w:rFonts w:ascii="Arial" w:hAnsi="Arial" w:cs="Arial"/>
        </w:rPr>
        <w:t xml:space="preserve">currently </w:t>
      </w:r>
      <w:r w:rsidR="0081050C">
        <w:rPr>
          <w:rFonts w:ascii="Arial" w:hAnsi="Arial" w:cs="Arial"/>
        </w:rPr>
        <w:t>capable of</w:t>
      </w:r>
      <w:r w:rsidRPr="00061526">
        <w:rPr>
          <w:rFonts w:ascii="Arial" w:hAnsi="Arial" w:cs="Arial"/>
        </w:rPr>
        <w:t xml:space="preserve"> supply</w:t>
      </w:r>
      <w:r w:rsidR="0081050C">
        <w:rPr>
          <w:rFonts w:ascii="Arial" w:hAnsi="Arial" w:cs="Arial"/>
        </w:rPr>
        <w:t>ing</w:t>
      </w:r>
      <w:r w:rsidRPr="00061526">
        <w:rPr>
          <w:rFonts w:ascii="Arial" w:hAnsi="Arial" w:cs="Arial"/>
        </w:rPr>
        <w:t xml:space="preserve"> UPR of the desired specification to the mining segment and that the </w:t>
      </w:r>
      <w:r w:rsidR="008A2962">
        <w:rPr>
          <w:rFonts w:ascii="Arial" w:hAnsi="Arial" w:cs="Arial"/>
        </w:rPr>
        <w:t xml:space="preserve">proposed </w:t>
      </w:r>
      <w:r w:rsidRPr="00061526">
        <w:rPr>
          <w:rFonts w:ascii="Arial" w:hAnsi="Arial" w:cs="Arial"/>
        </w:rPr>
        <w:t xml:space="preserve">transaction </w:t>
      </w:r>
      <w:r w:rsidR="008A2962">
        <w:rPr>
          <w:rFonts w:ascii="Arial" w:hAnsi="Arial" w:cs="Arial"/>
        </w:rPr>
        <w:t xml:space="preserve">therefore </w:t>
      </w:r>
      <w:r w:rsidRPr="00061526">
        <w:rPr>
          <w:rFonts w:ascii="Arial" w:hAnsi="Arial" w:cs="Arial"/>
        </w:rPr>
        <w:t>would give rise to a monopoly.</w:t>
      </w:r>
      <w:r>
        <w:rPr>
          <w:rStyle w:val="FootnoteReference"/>
          <w:rFonts w:ascii="Arial" w:hAnsi="Arial" w:cs="Arial"/>
        </w:rPr>
        <w:footnoteReference w:id="86"/>
      </w:r>
      <w:r w:rsidRPr="00061526">
        <w:rPr>
          <w:rFonts w:ascii="Arial" w:hAnsi="Arial" w:cs="Arial"/>
        </w:rPr>
        <w:t xml:space="preserve"> </w:t>
      </w:r>
      <w:r w:rsidR="008A2962">
        <w:rPr>
          <w:rFonts w:ascii="Arial" w:hAnsi="Arial" w:cs="Arial"/>
        </w:rPr>
        <w:t xml:space="preserve">The Commission further </w:t>
      </w:r>
      <w:r w:rsidRPr="00061526">
        <w:rPr>
          <w:rFonts w:ascii="Arial" w:hAnsi="Arial" w:cs="Arial"/>
        </w:rPr>
        <w:t xml:space="preserve">found that the mining segment does not import UPR and that it is solely </w:t>
      </w:r>
      <w:r w:rsidR="004E63A2" w:rsidRPr="00061526">
        <w:rPr>
          <w:rFonts w:ascii="Arial" w:hAnsi="Arial" w:cs="Arial"/>
        </w:rPr>
        <w:t>dependent</w:t>
      </w:r>
      <w:r w:rsidRPr="00061526">
        <w:rPr>
          <w:rFonts w:ascii="Arial" w:hAnsi="Arial" w:cs="Arial"/>
        </w:rPr>
        <w:t xml:space="preserve"> on the merging parties. </w:t>
      </w:r>
      <w:r w:rsidR="00A85548">
        <w:rPr>
          <w:rFonts w:ascii="Arial" w:hAnsi="Arial" w:cs="Arial"/>
        </w:rPr>
        <w:t>T</w:t>
      </w:r>
      <w:r w:rsidR="00A85548" w:rsidRPr="00061526">
        <w:rPr>
          <w:rFonts w:ascii="Arial" w:hAnsi="Arial" w:cs="Arial"/>
        </w:rPr>
        <w:t xml:space="preserve">he Commission </w:t>
      </w:r>
      <w:r w:rsidR="002D0BF6">
        <w:rPr>
          <w:rFonts w:ascii="Arial" w:hAnsi="Arial" w:cs="Arial"/>
        </w:rPr>
        <w:t>also</w:t>
      </w:r>
      <w:r w:rsidR="001E1F98">
        <w:rPr>
          <w:rFonts w:ascii="Arial" w:hAnsi="Arial" w:cs="Arial"/>
        </w:rPr>
        <w:t xml:space="preserve"> </w:t>
      </w:r>
      <w:r w:rsidR="00A85548" w:rsidRPr="00061526">
        <w:rPr>
          <w:rFonts w:ascii="Arial" w:hAnsi="Arial" w:cs="Arial"/>
        </w:rPr>
        <w:t>discounted the possibility of Scott Bader and</w:t>
      </w:r>
      <w:r w:rsidR="001E1F98">
        <w:rPr>
          <w:rFonts w:ascii="Arial" w:hAnsi="Arial" w:cs="Arial"/>
        </w:rPr>
        <w:t>/or</w:t>
      </w:r>
      <w:r w:rsidR="00A85548" w:rsidRPr="00061526">
        <w:rPr>
          <w:rFonts w:ascii="Arial" w:hAnsi="Arial" w:cs="Arial"/>
        </w:rPr>
        <w:t xml:space="preserve"> KZN Resins being able, through supply</w:t>
      </w:r>
      <w:r w:rsidR="00A85548">
        <w:rPr>
          <w:rFonts w:ascii="Arial" w:hAnsi="Arial" w:cs="Arial"/>
        </w:rPr>
        <w:t>-</w:t>
      </w:r>
      <w:r w:rsidR="00A85548" w:rsidRPr="00061526">
        <w:rPr>
          <w:rFonts w:ascii="Arial" w:hAnsi="Arial" w:cs="Arial"/>
        </w:rPr>
        <w:t>side substituta</w:t>
      </w:r>
      <w:r w:rsidR="00B31375">
        <w:rPr>
          <w:rFonts w:ascii="Arial" w:hAnsi="Arial" w:cs="Arial"/>
        </w:rPr>
        <w:t>bility, to produce mining resin</w:t>
      </w:r>
      <w:r w:rsidR="00A85548" w:rsidRPr="00061526">
        <w:rPr>
          <w:rFonts w:ascii="Arial" w:hAnsi="Arial" w:cs="Arial"/>
        </w:rPr>
        <w:t>.</w:t>
      </w:r>
      <w:r w:rsidR="00A85548">
        <w:rPr>
          <w:rStyle w:val="FootnoteReference"/>
          <w:rFonts w:ascii="Arial" w:hAnsi="Arial" w:cs="Arial"/>
        </w:rPr>
        <w:footnoteReference w:id="87"/>
      </w:r>
      <w:r w:rsidR="00A85548">
        <w:rPr>
          <w:rFonts w:ascii="Arial" w:hAnsi="Arial" w:cs="Arial"/>
        </w:rPr>
        <w:t xml:space="preserve"> </w:t>
      </w:r>
      <w:r w:rsidRPr="00061526">
        <w:rPr>
          <w:rFonts w:ascii="Arial" w:hAnsi="Arial" w:cs="Arial"/>
        </w:rPr>
        <w:t>The Commission however did acknowledge that Scott Bader may be “</w:t>
      </w:r>
      <w:r w:rsidRPr="00A72785">
        <w:rPr>
          <w:rFonts w:ascii="Arial" w:hAnsi="Arial" w:cs="Arial"/>
          <w:i/>
        </w:rPr>
        <w:t>a potential supplier</w:t>
      </w:r>
      <w:r w:rsidRPr="00061526">
        <w:rPr>
          <w:rFonts w:ascii="Arial" w:hAnsi="Arial" w:cs="Arial"/>
        </w:rPr>
        <w:t xml:space="preserve">” to this </w:t>
      </w:r>
      <w:r w:rsidR="001A5477">
        <w:rPr>
          <w:rFonts w:ascii="Arial" w:hAnsi="Arial" w:cs="Arial"/>
        </w:rPr>
        <w:t>market</w:t>
      </w:r>
      <w:r w:rsidRPr="00061526">
        <w:rPr>
          <w:rFonts w:ascii="Arial" w:hAnsi="Arial" w:cs="Arial"/>
        </w:rPr>
        <w:t xml:space="preserve"> but said that Scott Bader</w:t>
      </w:r>
      <w:r>
        <w:rPr>
          <w:rStyle w:val="FootnoteReference"/>
          <w:rFonts w:ascii="Arial" w:hAnsi="Arial" w:cs="Arial"/>
        </w:rPr>
        <w:footnoteReference w:id="88"/>
      </w:r>
      <w:r w:rsidRPr="00061526">
        <w:rPr>
          <w:rFonts w:ascii="Arial" w:hAnsi="Arial" w:cs="Arial"/>
        </w:rPr>
        <w:t xml:space="preserve"> had not provided </w:t>
      </w:r>
      <w:r w:rsidR="002D0BF6">
        <w:rPr>
          <w:rFonts w:ascii="Arial" w:hAnsi="Arial" w:cs="Arial"/>
        </w:rPr>
        <w:t>it</w:t>
      </w:r>
      <w:r w:rsidRPr="00061526">
        <w:rPr>
          <w:rFonts w:ascii="Arial" w:hAnsi="Arial" w:cs="Arial"/>
        </w:rPr>
        <w:t xml:space="preserve"> with evidence of imminent entry.</w:t>
      </w:r>
      <w:r>
        <w:rPr>
          <w:rStyle w:val="FootnoteReference"/>
          <w:rFonts w:ascii="Arial" w:hAnsi="Arial" w:cs="Arial"/>
        </w:rPr>
        <w:footnoteReference w:id="89"/>
      </w:r>
      <w:r w:rsidRPr="00061526">
        <w:rPr>
          <w:rFonts w:ascii="Arial" w:hAnsi="Arial" w:cs="Arial"/>
        </w:rPr>
        <w:t xml:space="preserve">  The Commission concluded that </w:t>
      </w:r>
      <w:r w:rsidR="0039762B">
        <w:rPr>
          <w:rFonts w:ascii="Arial" w:hAnsi="Arial" w:cs="Arial"/>
        </w:rPr>
        <w:t xml:space="preserve">it </w:t>
      </w:r>
      <w:r>
        <w:rPr>
          <w:rFonts w:ascii="Arial" w:hAnsi="Arial" w:cs="Arial"/>
        </w:rPr>
        <w:t>wa</w:t>
      </w:r>
      <w:r w:rsidRPr="00061526">
        <w:rPr>
          <w:rFonts w:ascii="Arial" w:hAnsi="Arial" w:cs="Arial"/>
        </w:rPr>
        <w:t>s not convinced that Scott Bader’s entry w</w:t>
      </w:r>
      <w:r w:rsidR="00F914F1">
        <w:rPr>
          <w:rFonts w:ascii="Arial" w:hAnsi="Arial" w:cs="Arial"/>
        </w:rPr>
        <w:t>ould</w:t>
      </w:r>
      <w:r w:rsidRPr="00061526">
        <w:rPr>
          <w:rFonts w:ascii="Arial" w:hAnsi="Arial" w:cs="Arial"/>
        </w:rPr>
        <w:t xml:space="preserve"> be timely.</w:t>
      </w:r>
      <w:r>
        <w:rPr>
          <w:rStyle w:val="FootnoteReference"/>
          <w:rFonts w:ascii="Arial" w:hAnsi="Arial" w:cs="Arial"/>
        </w:rPr>
        <w:footnoteReference w:id="90"/>
      </w:r>
      <w:r w:rsidRPr="00061526">
        <w:rPr>
          <w:rFonts w:ascii="Arial" w:hAnsi="Arial" w:cs="Arial"/>
        </w:rPr>
        <w:t xml:space="preserve">  </w:t>
      </w:r>
    </w:p>
    <w:p w:rsidR="00C74AA3" w:rsidRPr="00B31375" w:rsidRDefault="00A93135" w:rsidP="00931903">
      <w:pPr>
        <w:pStyle w:val="ListParagraph"/>
        <w:numPr>
          <w:ilvl w:val="0"/>
          <w:numId w:val="2"/>
        </w:numPr>
        <w:spacing w:after="240" w:line="360" w:lineRule="auto"/>
        <w:ind w:left="0" w:firstLine="0"/>
        <w:jc w:val="both"/>
        <w:rPr>
          <w:rFonts w:ascii="Arial" w:hAnsi="Arial" w:cs="Arial"/>
        </w:rPr>
      </w:pPr>
      <w:r w:rsidRPr="00A93135">
        <w:rPr>
          <w:rFonts w:ascii="Arial" w:hAnsi="Arial" w:cs="Arial"/>
        </w:rPr>
        <w:t>As s</w:t>
      </w:r>
      <w:r w:rsidR="0039762B">
        <w:rPr>
          <w:rFonts w:ascii="Arial" w:hAnsi="Arial" w:cs="Arial"/>
        </w:rPr>
        <w:t>t</w:t>
      </w:r>
      <w:r w:rsidRPr="00A93135">
        <w:rPr>
          <w:rFonts w:ascii="Arial" w:hAnsi="Arial" w:cs="Arial"/>
        </w:rPr>
        <w:t xml:space="preserve">ated above, the merging parties tendered </w:t>
      </w:r>
      <w:r w:rsidR="0039762B">
        <w:rPr>
          <w:rFonts w:ascii="Arial" w:hAnsi="Arial" w:cs="Arial"/>
        </w:rPr>
        <w:t xml:space="preserve">a </w:t>
      </w:r>
      <w:r w:rsidR="00494116" w:rsidRPr="00A93135">
        <w:rPr>
          <w:rFonts w:ascii="Arial" w:hAnsi="Arial" w:cs="Arial"/>
        </w:rPr>
        <w:t xml:space="preserve">two-year </w:t>
      </w:r>
      <w:r w:rsidR="0039762B">
        <w:rPr>
          <w:rFonts w:ascii="Arial" w:hAnsi="Arial" w:cs="Arial"/>
        </w:rPr>
        <w:t xml:space="preserve">pricing remedy to address the Commission’s concerns in the mining UPR market. </w:t>
      </w:r>
      <w:r w:rsidR="00B35E18">
        <w:rPr>
          <w:rFonts w:ascii="Arial" w:hAnsi="Arial" w:cs="Arial"/>
        </w:rPr>
        <w:t xml:space="preserve">This </w:t>
      </w:r>
      <w:r w:rsidR="001E1F98">
        <w:rPr>
          <w:rFonts w:ascii="Arial" w:hAnsi="Arial" w:cs="Arial"/>
        </w:rPr>
        <w:t xml:space="preserve">tendered remedy </w:t>
      </w:r>
      <w:r w:rsidR="00B35E18">
        <w:rPr>
          <w:rFonts w:ascii="Arial" w:hAnsi="Arial" w:cs="Arial"/>
        </w:rPr>
        <w:t xml:space="preserve">was based on a </w:t>
      </w:r>
      <w:r w:rsidR="00B35E18" w:rsidRPr="00A93135">
        <w:rPr>
          <w:rFonts w:ascii="Arial" w:hAnsi="Arial" w:cs="Arial"/>
        </w:rPr>
        <w:t xml:space="preserve">formula negotiated </w:t>
      </w:r>
      <w:r w:rsidR="00B35E18">
        <w:rPr>
          <w:rFonts w:ascii="Arial" w:hAnsi="Arial" w:cs="Arial"/>
        </w:rPr>
        <w:t xml:space="preserve">by Ferro </w:t>
      </w:r>
      <w:r w:rsidR="00B35E18" w:rsidRPr="00A93135">
        <w:rPr>
          <w:rFonts w:ascii="Arial" w:hAnsi="Arial" w:cs="Arial"/>
        </w:rPr>
        <w:t>with both Hahn of Rocbolt and Duma of Minova</w:t>
      </w:r>
      <w:r w:rsidR="00B35E18">
        <w:rPr>
          <w:rFonts w:ascii="Arial" w:hAnsi="Arial" w:cs="Arial"/>
        </w:rPr>
        <w:t>.</w:t>
      </w:r>
      <w:r w:rsidR="00B35E18" w:rsidRPr="00A93135">
        <w:rPr>
          <w:rFonts w:ascii="Arial" w:hAnsi="Arial" w:cs="Arial"/>
        </w:rPr>
        <w:t xml:space="preserve"> </w:t>
      </w:r>
      <w:r w:rsidRPr="00A93135">
        <w:rPr>
          <w:rFonts w:ascii="Arial" w:hAnsi="Arial" w:cs="Arial"/>
        </w:rPr>
        <w:t>The</w:t>
      </w:r>
      <w:r w:rsidR="00B35E18">
        <w:rPr>
          <w:rFonts w:ascii="Arial" w:hAnsi="Arial" w:cs="Arial"/>
        </w:rPr>
        <w:t xml:space="preserve"> </w:t>
      </w:r>
      <w:r w:rsidRPr="00A93135">
        <w:rPr>
          <w:rFonts w:ascii="Arial" w:hAnsi="Arial" w:cs="Arial"/>
        </w:rPr>
        <w:t xml:space="preserve">Commission </w:t>
      </w:r>
      <w:r w:rsidR="00494116">
        <w:rPr>
          <w:rFonts w:ascii="Arial" w:hAnsi="Arial" w:cs="Arial"/>
        </w:rPr>
        <w:t xml:space="preserve">however </w:t>
      </w:r>
      <w:r w:rsidRPr="00A93135">
        <w:rPr>
          <w:rFonts w:ascii="Arial" w:hAnsi="Arial" w:cs="Arial"/>
        </w:rPr>
        <w:t>raised two concerns w</w:t>
      </w:r>
      <w:r w:rsidR="00931903" w:rsidRPr="00A93135">
        <w:rPr>
          <w:rFonts w:ascii="Arial" w:hAnsi="Arial" w:cs="Arial"/>
        </w:rPr>
        <w:t>ith re</w:t>
      </w:r>
      <w:r w:rsidR="00C5130A">
        <w:rPr>
          <w:rFonts w:ascii="Arial" w:hAnsi="Arial" w:cs="Arial"/>
        </w:rPr>
        <w:t>gards</w:t>
      </w:r>
      <w:r w:rsidR="00931903" w:rsidRPr="00A93135">
        <w:rPr>
          <w:rFonts w:ascii="Arial" w:hAnsi="Arial" w:cs="Arial"/>
        </w:rPr>
        <w:t xml:space="preserve"> to th</w:t>
      </w:r>
      <w:r w:rsidR="00494116">
        <w:rPr>
          <w:rFonts w:ascii="Arial" w:hAnsi="Arial" w:cs="Arial"/>
        </w:rPr>
        <w:t>e</w:t>
      </w:r>
      <w:r w:rsidR="00931903" w:rsidRPr="00A93135">
        <w:rPr>
          <w:rFonts w:ascii="Arial" w:hAnsi="Arial" w:cs="Arial"/>
        </w:rPr>
        <w:t xml:space="preserve"> </w:t>
      </w:r>
      <w:r w:rsidR="00C5130A">
        <w:rPr>
          <w:rFonts w:ascii="Arial" w:hAnsi="Arial" w:cs="Arial"/>
        </w:rPr>
        <w:t xml:space="preserve">tendered </w:t>
      </w:r>
      <w:r w:rsidR="001E1F98">
        <w:rPr>
          <w:rFonts w:ascii="Arial" w:hAnsi="Arial" w:cs="Arial"/>
        </w:rPr>
        <w:t>proposal</w:t>
      </w:r>
      <w:r w:rsidR="00931903" w:rsidRPr="00A93135">
        <w:rPr>
          <w:rFonts w:ascii="Arial" w:hAnsi="Arial" w:cs="Arial"/>
        </w:rPr>
        <w:t xml:space="preserve">. First, that Scott Bader </w:t>
      </w:r>
      <w:r w:rsidR="00F914F1">
        <w:rPr>
          <w:rFonts w:ascii="Arial" w:hAnsi="Arial" w:cs="Arial"/>
        </w:rPr>
        <w:t>may</w:t>
      </w:r>
      <w:r w:rsidR="00931903" w:rsidRPr="00A93135">
        <w:rPr>
          <w:rFonts w:ascii="Arial" w:hAnsi="Arial" w:cs="Arial"/>
        </w:rPr>
        <w:t xml:space="preserve"> not be able to enter </w:t>
      </w:r>
      <w:r w:rsidR="001E1F98">
        <w:rPr>
          <w:rFonts w:ascii="Arial" w:hAnsi="Arial" w:cs="Arial"/>
        </w:rPr>
        <w:t xml:space="preserve">the market </w:t>
      </w:r>
      <w:r w:rsidR="00931903" w:rsidRPr="00A93135">
        <w:rPr>
          <w:rFonts w:ascii="Arial" w:hAnsi="Arial" w:cs="Arial"/>
        </w:rPr>
        <w:t xml:space="preserve">during the two year period of the </w:t>
      </w:r>
      <w:r w:rsidR="001E1F98">
        <w:rPr>
          <w:rFonts w:ascii="Arial" w:hAnsi="Arial" w:cs="Arial"/>
        </w:rPr>
        <w:t>tendered</w:t>
      </w:r>
      <w:r w:rsidR="00494116">
        <w:rPr>
          <w:rFonts w:ascii="Arial" w:hAnsi="Arial" w:cs="Arial"/>
        </w:rPr>
        <w:t xml:space="preserve"> </w:t>
      </w:r>
      <w:r w:rsidR="00931903" w:rsidRPr="00A93135">
        <w:rPr>
          <w:rFonts w:ascii="Arial" w:hAnsi="Arial" w:cs="Arial"/>
        </w:rPr>
        <w:t xml:space="preserve">pricing </w:t>
      </w:r>
      <w:r w:rsidR="00494116">
        <w:rPr>
          <w:rFonts w:ascii="Arial" w:hAnsi="Arial" w:cs="Arial"/>
        </w:rPr>
        <w:t>remedy</w:t>
      </w:r>
      <w:r w:rsidR="00931903" w:rsidRPr="00A93135">
        <w:rPr>
          <w:rFonts w:ascii="Arial" w:hAnsi="Arial" w:cs="Arial"/>
        </w:rPr>
        <w:t>.  Second</w:t>
      </w:r>
      <w:r w:rsidR="00494116">
        <w:rPr>
          <w:rFonts w:ascii="Arial" w:hAnsi="Arial" w:cs="Arial"/>
        </w:rPr>
        <w:t>,</w:t>
      </w:r>
      <w:r w:rsidR="00931903" w:rsidRPr="00A93135">
        <w:rPr>
          <w:rFonts w:ascii="Arial" w:hAnsi="Arial" w:cs="Arial"/>
        </w:rPr>
        <w:t xml:space="preserve"> that the use of the pricing formula would give rise to the risk of tacit collusion.</w:t>
      </w:r>
      <w:r w:rsidR="00931903">
        <w:rPr>
          <w:rStyle w:val="FootnoteReference"/>
          <w:rFonts w:ascii="Arial" w:hAnsi="Arial" w:cs="Arial"/>
        </w:rPr>
        <w:footnoteReference w:id="91"/>
      </w:r>
      <w:r w:rsidR="00931903" w:rsidRPr="00A93135">
        <w:rPr>
          <w:rFonts w:ascii="Arial" w:hAnsi="Arial" w:cs="Arial"/>
        </w:rPr>
        <w:t xml:space="preserve"> The latter concern was however abandoned by the Commission during the further course of the matter.</w:t>
      </w:r>
    </w:p>
    <w:p w:rsidR="00931903" w:rsidRPr="00931903" w:rsidRDefault="00931903" w:rsidP="00931903">
      <w:pPr>
        <w:pStyle w:val="ListParagraph"/>
        <w:spacing w:after="240" w:line="360" w:lineRule="auto"/>
        <w:ind w:left="0"/>
        <w:jc w:val="both"/>
        <w:rPr>
          <w:rFonts w:ascii="Arial" w:hAnsi="Arial" w:cs="Arial"/>
          <w:i/>
        </w:rPr>
      </w:pPr>
      <w:r w:rsidRPr="00931903">
        <w:rPr>
          <w:rFonts w:ascii="Arial" w:hAnsi="Arial" w:cs="Arial"/>
          <w:i/>
        </w:rPr>
        <w:t>Assessment</w:t>
      </w:r>
    </w:p>
    <w:p w:rsidR="003739F9" w:rsidRDefault="0081050C" w:rsidP="00AC5B63">
      <w:pPr>
        <w:pStyle w:val="ListParagraph"/>
        <w:numPr>
          <w:ilvl w:val="0"/>
          <w:numId w:val="2"/>
        </w:numPr>
        <w:spacing w:after="240" w:line="360" w:lineRule="auto"/>
        <w:ind w:left="0" w:firstLine="0"/>
        <w:jc w:val="both"/>
        <w:rPr>
          <w:rFonts w:ascii="Arial" w:hAnsi="Arial" w:cs="Arial"/>
        </w:rPr>
      </w:pPr>
      <w:r>
        <w:rPr>
          <w:rFonts w:ascii="Arial" w:hAnsi="Arial" w:cs="Arial"/>
        </w:rPr>
        <w:lastRenderedPageBreak/>
        <w:t xml:space="preserve">The </w:t>
      </w:r>
      <w:r w:rsidR="003739F9">
        <w:rPr>
          <w:rFonts w:ascii="Arial" w:hAnsi="Arial" w:cs="Arial"/>
        </w:rPr>
        <w:t>evidence has shown that a</w:t>
      </w:r>
      <w:r w:rsidR="00931903" w:rsidRPr="000B7B57">
        <w:rPr>
          <w:rFonts w:ascii="Arial" w:hAnsi="Arial" w:cs="Arial"/>
        </w:rPr>
        <w:t xml:space="preserve">lthough Arkema SA at present does not supply any mining UPR, the merging parties historically have supplied the overwhelming majority of UPR in the mining UPR </w:t>
      </w:r>
      <w:r w:rsidR="000B7B57" w:rsidRPr="000B7B57">
        <w:rPr>
          <w:rFonts w:ascii="Arial" w:hAnsi="Arial" w:cs="Arial"/>
        </w:rPr>
        <w:t>market</w:t>
      </w:r>
      <w:r w:rsidR="00931903" w:rsidRPr="000B7B57">
        <w:rPr>
          <w:rFonts w:ascii="Arial" w:hAnsi="Arial" w:cs="Arial"/>
        </w:rPr>
        <w:t>.</w:t>
      </w:r>
      <w:r w:rsidR="00931903">
        <w:rPr>
          <w:rStyle w:val="FootnoteReference"/>
          <w:rFonts w:ascii="Arial" w:hAnsi="Arial" w:cs="Arial"/>
        </w:rPr>
        <w:footnoteReference w:id="92"/>
      </w:r>
      <w:r w:rsidR="00931903" w:rsidRPr="000B7B57">
        <w:rPr>
          <w:rFonts w:ascii="Arial" w:hAnsi="Arial" w:cs="Arial"/>
        </w:rPr>
        <w:t xml:space="preserve"> </w:t>
      </w:r>
      <w:r w:rsidR="000B7B57" w:rsidRPr="000B7B57">
        <w:rPr>
          <w:rFonts w:ascii="Arial" w:hAnsi="Arial" w:cs="Arial"/>
        </w:rPr>
        <w:t xml:space="preserve">They </w:t>
      </w:r>
      <w:r w:rsidR="00931903" w:rsidRPr="000B7B57">
        <w:rPr>
          <w:rFonts w:ascii="Arial" w:hAnsi="Arial" w:cs="Arial"/>
        </w:rPr>
        <w:t xml:space="preserve">currently are the only two UPR producers that have mining UPR products qualified. </w:t>
      </w:r>
    </w:p>
    <w:p w:rsidR="008D1480" w:rsidRDefault="000B7B57" w:rsidP="0080582B">
      <w:pPr>
        <w:pStyle w:val="ListParagraph"/>
        <w:numPr>
          <w:ilvl w:val="0"/>
          <w:numId w:val="2"/>
        </w:numPr>
        <w:spacing w:after="240" w:line="360" w:lineRule="auto"/>
        <w:ind w:left="0" w:firstLine="0"/>
        <w:jc w:val="both"/>
        <w:rPr>
          <w:rFonts w:ascii="Arial" w:hAnsi="Arial" w:cs="Arial"/>
        </w:rPr>
      </w:pPr>
      <w:r w:rsidRPr="003739F9">
        <w:rPr>
          <w:rFonts w:ascii="Arial" w:hAnsi="Arial" w:cs="Arial"/>
        </w:rPr>
        <w:t xml:space="preserve">As stated above, there are currently only two </w:t>
      </w:r>
      <w:r w:rsidR="00B31375" w:rsidRPr="003739F9">
        <w:rPr>
          <w:rFonts w:ascii="Arial" w:hAnsi="Arial" w:cs="Arial"/>
        </w:rPr>
        <w:t xml:space="preserve">mining UPR </w:t>
      </w:r>
      <w:r w:rsidRPr="003739F9">
        <w:rPr>
          <w:rFonts w:ascii="Arial" w:hAnsi="Arial" w:cs="Arial"/>
        </w:rPr>
        <w:t xml:space="preserve">customers in South Africa, namely Minova and Rocbolt. </w:t>
      </w:r>
      <w:r w:rsidR="003739F9" w:rsidRPr="003739F9">
        <w:rPr>
          <w:rFonts w:ascii="Arial" w:hAnsi="Arial" w:cs="Arial"/>
        </w:rPr>
        <w:t>B</w:t>
      </w:r>
      <w:r w:rsidR="00AC5B63" w:rsidRPr="003739F9">
        <w:rPr>
          <w:rFonts w:ascii="Arial" w:hAnsi="Arial" w:cs="Arial"/>
        </w:rPr>
        <w:t xml:space="preserve">oth Minova and Rocbolt have expressed concerns over the impact of the proposed merger on their ability to negotiate terms </w:t>
      </w:r>
      <w:r w:rsidR="003739F9">
        <w:rPr>
          <w:rFonts w:ascii="Arial" w:hAnsi="Arial" w:cs="Arial"/>
        </w:rPr>
        <w:t>that could u</w:t>
      </w:r>
      <w:r w:rsidR="00AC5B63" w:rsidRPr="003739F9">
        <w:rPr>
          <w:rFonts w:ascii="Arial" w:hAnsi="Arial" w:cs="Arial"/>
        </w:rPr>
        <w:t xml:space="preserve">ltimately </w:t>
      </w:r>
      <w:r w:rsidR="003739F9">
        <w:rPr>
          <w:rFonts w:ascii="Arial" w:hAnsi="Arial" w:cs="Arial"/>
        </w:rPr>
        <w:t xml:space="preserve">lead to </w:t>
      </w:r>
      <w:r w:rsidR="00AC5B63" w:rsidRPr="003739F9">
        <w:rPr>
          <w:rFonts w:ascii="Arial" w:hAnsi="Arial" w:cs="Arial"/>
        </w:rPr>
        <w:t xml:space="preserve">a reduction in UPR supply </w:t>
      </w:r>
      <w:r w:rsidR="003739F9" w:rsidRPr="003739F9">
        <w:rPr>
          <w:rFonts w:ascii="Arial" w:hAnsi="Arial" w:cs="Arial"/>
        </w:rPr>
        <w:t>post</w:t>
      </w:r>
      <w:r w:rsidR="003739F9">
        <w:rPr>
          <w:rFonts w:ascii="Arial" w:hAnsi="Arial" w:cs="Arial"/>
        </w:rPr>
        <w:t>-</w:t>
      </w:r>
      <w:r w:rsidR="003739F9" w:rsidRPr="003739F9">
        <w:rPr>
          <w:rFonts w:ascii="Arial" w:hAnsi="Arial" w:cs="Arial"/>
        </w:rPr>
        <w:t xml:space="preserve">merger </w:t>
      </w:r>
      <w:r w:rsidR="00AC5B63" w:rsidRPr="003739F9">
        <w:rPr>
          <w:rFonts w:ascii="Arial" w:hAnsi="Arial" w:cs="Arial"/>
        </w:rPr>
        <w:t>and/or increased UPR pricing.</w:t>
      </w:r>
      <w:r w:rsidR="00AC5B63">
        <w:rPr>
          <w:rStyle w:val="FootnoteReference"/>
          <w:rFonts w:ascii="Arial" w:hAnsi="Arial" w:cs="Arial"/>
        </w:rPr>
        <w:footnoteReference w:id="93"/>
      </w:r>
    </w:p>
    <w:p w:rsidR="000B7B57" w:rsidRPr="008D1480" w:rsidRDefault="008D1480" w:rsidP="008D1480">
      <w:pPr>
        <w:pStyle w:val="ListParagraph"/>
        <w:spacing w:after="240" w:line="360" w:lineRule="auto"/>
        <w:ind w:left="0"/>
        <w:jc w:val="both"/>
        <w:rPr>
          <w:rFonts w:ascii="Arial" w:hAnsi="Arial" w:cs="Arial"/>
          <w:i/>
        </w:rPr>
      </w:pPr>
      <w:r w:rsidRPr="008D1480">
        <w:rPr>
          <w:rFonts w:ascii="Arial" w:hAnsi="Arial" w:cs="Arial"/>
          <w:i/>
        </w:rPr>
        <w:t>Minova</w:t>
      </w:r>
      <w:r w:rsidR="00931903" w:rsidRPr="008D1480">
        <w:rPr>
          <w:rFonts w:ascii="Arial" w:hAnsi="Arial" w:cs="Arial"/>
          <w:i/>
        </w:rPr>
        <w:t xml:space="preserve"> </w:t>
      </w:r>
    </w:p>
    <w:p w:rsidR="000B7B57" w:rsidRDefault="000B7B57" w:rsidP="000B7B57">
      <w:pPr>
        <w:pStyle w:val="ListParagraph"/>
        <w:numPr>
          <w:ilvl w:val="0"/>
          <w:numId w:val="2"/>
        </w:numPr>
        <w:spacing w:after="240" w:line="360" w:lineRule="auto"/>
        <w:ind w:left="0" w:firstLine="0"/>
        <w:jc w:val="both"/>
        <w:rPr>
          <w:rFonts w:ascii="Arial" w:hAnsi="Arial" w:cs="Arial"/>
        </w:rPr>
      </w:pPr>
      <w:r>
        <w:rPr>
          <w:rFonts w:ascii="Arial" w:hAnsi="Arial" w:cs="Arial"/>
        </w:rPr>
        <w:t xml:space="preserve">With regards to Minova, </w:t>
      </w:r>
      <w:r w:rsidR="00274A3F" w:rsidRPr="00086772">
        <w:rPr>
          <w:rFonts w:ascii="Arial" w:hAnsi="Arial" w:cs="Arial"/>
        </w:rPr>
        <w:t xml:space="preserve">Arkema </w:t>
      </w:r>
      <w:r w:rsidR="0090219D">
        <w:rPr>
          <w:rFonts w:ascii="Arial" w:hAnsi="Arial" w:cs="Arial"/>
        </w:rPr>
        <w:t xml:space="preserve">SA </w:t>
      </w:r>
      <w:r w:rsidR="00274A3F" w:rsidRPr="00086772">
        <w:rPr>
          <w:rFonts w:ascii="Arial" w:hAnsi="Arial" w:cs="Arial"/>
        </w:rPr>
        <w:t>was</w:t>
      </w:r>
      <w:r>
        <w:rPr>
          <w:rFonts w:ascii="Arial" w:hAnsi="Arial" w:cs="Arial"/>
        </w:rPr>
        <w:t xml:space="preserve"> until 2004</w:t>
      </w:r>
      <w:r w:rsidR="00274A3F" w:rsidRPr="00086772">
        <w:rPr>
          <w:rFonts w:ascii="Arial" w:hAnsi="Arial" w:cs="Arial"/>
        </w:rPr>
        <w:t xml:space="preserve"> Minova’s only </w:t>
      </w:r>
      <w:r w:rsidR="0090219D">
        <w:rPr>
          <w:rFonts w:ascii="Arial" w:hAnsi="Arial" w:cs="Arial"/>
        </w:rPr>
        <w:t xml:space="preserve">mining UPR </w:t>
      </w:r>
      <w:r w:rsidR="00274A3F" w:rsidRPr="00086772">
        <w:rPr>
          <w:rFonts w:ascii="Arial" w:hAnsi="Arial" w:cs="Arial"/>
        </w:rPr>
        <w:t xml:space="preserve">supplier. In 2004 </w:t>
      </w:r>
      <w:r w:rsidRPr="00086772">
        <w:rPr>
          <w:rFonts w:ascii="Arial" w:hAnsi="Arial" w:cs="Arial"/>
        </w:rPr>
        <w:t xml:space="preserve">Minova </w:t>
      </w:r>
      <w:r>
        <w:rPr>
          <w:rFonts w:ascii="Arial" w:hAnsi="Arial" w:cs="Arial"/>
        </w:rPr>
        <w:t xml:space="preserve">also qualified </w:t>
      </w:r>
      <w:r w:rsidR="00274A3F" w:rsidRPr="00086772">
        <w:rPr>
          <w:rFonts w:ascii="Arial" w:hAnsi="Arial" w:cs="Arial"/>
        </w:rPr>
        <w:t xml:space="preserve">NCS. </w:t>
      </w:r>
      <w:r w:rsidR="00086772" w:rsidRPr="00086772">
        <w:rPr>
          <w:rFonts w:ascii="Arial" w:hAnsi="Arial" w:cs="Arial"/>
        </w:rPr>
        <w:t xml:space="preserve">In 2010 there was </w:t>
      </w:r>
      <w:r>
        <w:rPr>
          <w:rFonts w:ascii="Arial" w:hAnsi="Arial" w:cs="Arial"/>
        </w:rPr>
        <w:t xml:space="preserve">however </w:t>
      </w:r>
      <w:r w:rsidR="00086772" w:rsidRPr="00086772">
        <w:rPr>
          <w:rFonts w:ascii="Arial" w:hAnsi="Arial" w:cs="Arial"/>
        </w:rPr>
        <w:t xml:space="preserve">a product failure with </w:t>
      </w:r>
      <w:r w:rsidR="0090219D">
        <w:rPr>
          <w:rFonts w:ascii="Arial" w:hAnsi="Arial" w:cs="Arial"/>
        </w:rPr>
        <w:t xml:space="preserve">the </w:t>
      </w:r>
      <w:r w:rsidR="00086772" w:rsidRPr="00086772">
        <w:rPr>
          <w:rFonts w:ascii="Arial" w:hAnsi="Arial" w:cs="Arial"/>
        </w:rPr>
        <w:t>Arkema SA product</w:t>
      </w:r>
      <w:r w:rsidR="00086772">
        <w:rPr>
          <w:rStyle w:val="FootnoteReference"/>
          <w:rFonts w:ascii="Arial" w:hAnsi="Arial" w:cs="Arial"/>
        </w:rPr>
        <w:footnoteReference w:id="94"/>
      </w:r>
      <w:r w:rsidR="00086772" w:rsidRPr="00086772">
        <w:rPr>
          <w:rFonts w:ascii="Arial" w:hAnsi="Arial" w:cs="Arial"/>
        </w:rPr>
        <w:t xml:space="preserve"> </w:t>
      </w:r>
      <w:r>
        <w:rPr>
          <w:rFonts w:ascii="Arial" w:hAnsi="Arial" w:cs="Arial"/>
        </w:rPr>
        <w:t xml:space="preserve">and </w:t>
      </w:r>
      <w:r w:rsidR="00274A3F" w:rsidRPr="00086772">
        <w:rPr>
          <w:rFonts w:ascii="Arial" w:hAnsi="Arial" w:cs="Arial"/>
        </w:rPr>
        <w:t>NC</w:t>
      </w:r>
      <w:r w:rsidR="00784C5F" w:rsidRPr="00086772">
        <w:rPr>
          <w:rFonts w:ascii="Arial" w:hAnsi="Arial" w:cs="Arial"/>
        </w:rPr>
        <w:t>S</w:t>
      </w:r>
      <w:r w:rsidR="00274A3F" w:rsidRPr="00086772">
        <w:rPr>
          <w:rFonts w:ascii="Arial" w:hAnsi="Arial" w:cs="Arial"/>
        </w:rPr>
        <w:t xml:space="preserve"> has been Minova’s sole supplier for the past two years.</w:t>
      </w:r>
      <w:r w:rsidR="00274A3F">
        <w:rPr>
          <w:rStyle w:val="FootnoteReference"/>
          <w:rFonts w:ascii="Arial" w:hAnsi="Arial" w:cs="Arial"/>
        </w:rPr>
        <w:footnoteReference w:id="95"/>
      </w:r>
      <w:r w:rsidR="00274A3F" w:rsidRPr="00086772">
        <w:rPr>
          <w:rFonts w:ascii="Arial" w:hAnsi="Arial" w:cs="Arial"/>
        </w:rPr>
        <w:t xml:space="preserve"> </w:t>
      </w:r>
      <w:r>
        <w:rPr>
          <w:rFonts w:ascii="Arial" w:hAnsi="Arial" w:cs="Arial"/>
        </w:rPr>
        <w:t xml:space="preserve">However, </w:t>
      </w:r>
      <w:r w:rsidRPr="001F262C">
        <w:rPr>
          <w:rFonts w:ascii="Arial" w:hAnsi="Arial" w:cs="Arial"/>
        </w:rPr>
        <w:t xml:space="preserve">Arkema </w:t>
      </w:r>
      <w:r>
        <w:rPr>
          <w:rFonts w:ascii="Arial" w:hAnsi="Arial" w:cs="Arial"/>
        </w:rPr>
        <w:t xml:space="preserve">SA </w:t>
      </w:r>
      <w:r w:rsidRPr="001F262C">
        <w:rPr>
          <w:rFonts w:ascii="Arial" w:hAnsi="Arial" w:cs="Arial"/>
        </w:rPr>
        <w:t xml:space="preserve">has recently </w:t>
      </w:r>
      <w:r w:rsidR="00CF44C9">
        <w:rPr>
          <w:rFonts w:ascii="Arial" w:hAnsi="Arial" w:cs="Arial"/>
        </w:rPr>
        <w:t>(</w:t>
      </w:r>
      <w:r>
        <w:rPr>
          <w:rFonts w:ascii="Arial" w:hAnsi="Arial" w:cs="Arial"/>
        </w:rPr>
        <w:t>in December 2013)</w:t>
      </w:r>
      <w:r w:rsidR="00DD37C9">
        <w:rPr>
          <w:rFonts w:ascii="Arial" w:hAnsi="Arial" w:cs="Arial"/>
        </w:rPr>
        <w:t xml:space="preserve"> </w:t>
      </w:r>
      <w:r w:rsidRPr="001F262C">
        <w:rPr>
          <w:rFonts w:ascii="Arial" w:hAnsi="Arial" w:cs="Arial"/>
        </w:rPr>
        <w:t>re-qualified as a supplier</w:t>
      </w:r>
      <w:r w:rsidR="0090219D">
        <w:rPr>
          <w:rFonts w:ascii="Arial" w:hAnsi="Arial" w:cs="Arial"/>
        </w:rPr>
        <w:t>. It took three years to qualify Arkema SA.</w:t>
      </w:r>
      <w:r w:rsidR="0090219D">
        <w:rPr>
          <w:rStyle w:val="FootnoteReference"/>
          <w:rFonts w:ascii="Arial" w:hAnsi="Arial" w:cs="Arial"/>
        </w:rPr>
        <w:footnoteReference w:id="96"/>
      </w:r>
      <w:r w:rsidR="0090219D">
        <w:rPr>
          <w:rFonts w:ascii="Arial" w:hAnsi="Arial" w:cs="Arial"/>
        </w:rPr>
        <w:t xml:space="preserve"> We note that </w:t>
      </w:r>
      <w:r w:rsidRPr="001F262C">
        <w:rPr>
          <w:rFonts w:ascii="Arial" w:hAnsi="Arial" w:cs="Arial"/>
        </w:rPr>
        <w:t xml:space="preserve">Minova is not currently purchasing from Arkema, due to the uncertainty created by the </w:t>
      </w:r>
      <w:r w:rsidR="00DD37C9">
        <w:rPr>
          <w:rFonts w:ascii="Arial" w:hAnsi="Arial" w:cs="Arial"/>
        </w:rPr>
        <w:t xml:space="preserve">proposed </w:t>
      </w:r>
      <w:r w:rsidRPr="001F262C">
        <w:rPr>
          <w:rFonts w:ascii="Arial" w:hAnsi="Arial" w:cs="Arial"/>
        </w:rPr>
        <w:t xml:space="preserve">merger. </w:t>
      </w:r>
    </w:p>
    <w:p w:rsidR="00931903" w:rsidRPr="001F262C" w:rsidRDefault="00633BE3" w:rsidP="0080582B">
      <w:pPr>
        <w:pStyle w:val="ListParagraph"/>
        <w:numPr>
          <w:ilvl w:val="0"/>
          <w:numId w:val="2"/>
        </w:numPr>
        <w:spacing w:after="240" w:line="360" w:lineRule="auto"/>
        <w:ind w:left="0" w:firstLine="0"/>
        <w:jc w:val="both"/>
        <w:rPr>
          <w:rFonts w:ascii="Arial" w:hAnsi="Arial" w:cs="Arial"/>
        </w:rPr>
      </w:pPr>
      <w:r>
        <w:rPr>
          <w:rFonts w:ascii="Arial" w:hAnsi="Arial" w:cs="Arial"/>
        </w:rPr>
        <w:t xml:space="preserve">We further note that </w:t>
      </w:r>
      <w:r w:rsidR="000B7B57">
        <w:rPr>
          <w:rFonts w:ascii="Arial" w:hAnsi="Arial" w:cs="Arial"/>
        </w:rPr>
        <w:t xml:space="preserve">Duma of </w:t>
      </w:r>
      <w:r w:rsidR="00931903" w:rsidRPr="001F262C">
        <w:rPr>
          <w:rFonts w:ascii="Arial" w:hAnsi="Arial" w:cs="Arial"/>
        </w:rPr>
        <w:t xml:space="preserve">Minova </w:t>
      </w:r>
      <w:r w:rsidR="000B7B57">
        <w:rPr>
          <w:rFonts w:ascii="Arial" w:hAnsi="Arial" w:cs="Arial"/>
        </w:rPr>
        <w:t>indicated that he</w:t>
      </w:r>
      <w:r w:rsidR="00931903" w:rsidRPr="001F262C">
        <w:rPr>
          <w:rFonts w:ascii="Arial" w:hAnsi="Arial" w:cs="Arial"/>
        </w:rPr>
        <w:t xml:space="preserve"> considers the Arkema </w:t>
      </w:r>
      <w:r>
        <w:rPr>
          <w:rFonts w:ascii="Arial" w:hAnsi="Arial" w:cs="Arial"/>
        </w:rPr>
        <w:t xml:space="preserve">UPR </w:t>
      </w:r>
      <w:r w:rsidR="00931903" w:rsidRPr="001F262C">
        <w:rPr>
          <w:rFonts w:ascii="Arial" w:hAnsi="Arial" w:cs="Arial"/>
        </w:rPr>
        <w:t xml:space="preserve">product superior to the NCS product with the ability to reduce Minova’s </w:t>
      </w:r>
      <w:r w:rsidR="00CF44C9" w:rsidRPr="001F262C">
        <w:rPr>
          <w:rFonts w:ascii="Arial" w:hAnsi="Arial" w:cs="Arial"/>
        </w:rPr>
        <w:t xml:space="preserve">production </w:t>
      </w:r>
      <w:r w:rsidR="00931903" w:rsidRPr="001F262C">
        <w:rPr>
          <w:rFonts w:ascii="Arial" w:hAnsi="Arial" w:cs="Arial"/>
        </w:rPr>
        <w:t xml:space="preserve">costs. </w:t>
      </w:r>
      <w:r w:rsidR="00654223">
        <w:rPr>
          <w:rFonts w:ascii="Arial" w:hAnsi="Arial" w:cs="Arial"/>
        </w:rPr>
        <w:t>Duma testified</w:t>
      </w:r>
      <w:r w:rsidR="00CF44C9">
        <w:rPr>
          <w:rFonts w:ascii="Arial" w:hAnsi="Arial" w:cs="Arial"/>
        </w:rPr>
        <w:t xml:space="preserve"> as follows</w:t>
      </w:r>
      <w:r w:rsidR="00654223">
        <w:rPr>
          <w:rFonts w:ascii="Arial" w:hAnsi="Arial" w:cs="Arial"/>
        </w:rPr>
        <w:t>: “</w:t>
      </w:r>
      <w:r w:rsidR="00654223" w:rsidRPr="00654223">
        <w:rPr>
          <w:rFonts w:ascii="Arial" w:hAnsi="Arial" w:cs="Arial"/>
          <w:i/>
        </w:rPr>
        <w:t>it’s [Arkema</w:t>
      </w:r>
      <w:r w:rsidR="00216FEE">
        <w:rPr>
          <w:rFonts w:ascii="Arial" w:hAnsi="Arial" w:cs="Arial"/>
          <w:i/>
        </w:rPr>
        <w:t>’s</w:t>
      </w:r>
      <w:r w:rsidR="00654223" w:rsidRPr="00654223">
        <w:rPr>
          <w:rFonts w:ascii="Arial" w:hAnsi="Arial" w:cs="Arial"/>
          <w:i/>
        </w:rPr>
        <w:t xml:space="preserve"> product] superior in the sense that we use less at the plant. It </w:t>
      </w:r>
      <w:proofErr w:type="gramStart"/>
      <w:r w:rsidR="00654223" w:rsidRPr="00654223">
        <w:rPr>
          <w:rFonts w:ascii="Arial" w:hAnsi="Arial" w:cs="Arial"/>
          <w:i/>
        </w:rPr>
        <w:t>flows</w:t>
      </w:r>
      <w:proofErr w:type="gramEnd"/>
      <w:r w:rsidR="00654223" w:rsidRPr="00654223">
        <w:rPr>
          <w:rFonts w:ascii="Arial" w:hAnsi="Arial" w:cs="Arial"/>
          <w:i/>
        </w:rPr>
        <w:t xml:space="preserve"> smoother on the machines and so on and so forth and our cost of producing the product is low</w:t>
      </w:r>
      <w:r w:rsidR="00654223">
        <w:rPr>
          <w:rFonts w:ascii="Arial" w:hAnsi="Arial" w:cs="Arial"/>
        </w:rPr>
        <w:t>”</w:t>
      </w:r>
      <w:r w:rsidR="00ED0CDD">
        <w:rPr>
          <w:rFonts w:ascii="Arial" w:hAnsi="Arial" w:cs="Arial"/>
        </w:rPr>
        <w:t>.</w:t>
      </w:r>
      <w:r w:rsidR="00654223" w:rsidRPr="00654223">
        <w:rPr>
          <w:rStyle w:val="FootnoteReference"/>
          <w:rFonts w:ascii="Arial" w:hAnsi="Arial" w:cs="Arial"/>
        </w:rPr>
        <w:t xml:space="preserve"> </w:t>
      </w:r>
      <w:r w:rsidR="00654223">
        <w:rPr>
          <w:rStyle w:val="FootnoteReference"/>
          <w:rFonts w:ascii="Arial" w:hAnsi="Arial" w:cs="Arial"/>
        </w:rPr>
        <w:footnoteReference w:id="97"/>
      </w:r>
    </w:p>
    <w:p w:rsidR="003373B3" w:rsidRDefault="00931903" w:rsidP="003373B3">
      <w:pPr>
        <w:pStyle w:val="ListParagraph"/>
        <w:numPr>
          <w:ilvl w:val="0"/>
          <w:numId w:val="2"/>
        </w:numPr>
        <w:spacing w:after="240" w:line="360" w:lineRule="auto"/>
        <w:ind w:left="0" w:firstLine="0"/>
        <w:jc w:val="both"/>
        <w:rPr>
          <w:rFonts w:ascii="Arial" w:hAnsi="Arial" w:cs="Arial"/>
        </w:rPr>
      </w:pPr>
      <w:r w:rsidRPr="00D5151B">
        <w:rPr>
          <w:rFonts w:ascii="Arial" w:hAnsi="Arial" w:cs="Arial"/>
        </w:rPr>
        <w:t xml:space="preserve">More importantly </w:t>
      </w:r>
      <w:r w:rsidR="00633BE3">
        <w:rPr>
          <w:rFonts w:ascii="Arial" w:hAnsi="Arial" w:cs="Arial"/>
        </w:rPr>
        <w:t xml:space="preserve">however </w:t>
      </w:r>
      <w:r w:rsidR="00D6533E" w:rsidRPr="00D5151B">
        <w:rPr>
          <w:rFonts w:ascii="Arial" w:hAnsi="Arial" w:cs="Arial"/>
        </w:rPr>
        <w:t xml:space="preserve">from a competition perspective </w:t>
      </w:r>
      <w:r w:rsidR="00633BE3">
        <w:rPr>
          <w:rFonts w:ascii="Arial" w:hAnsi="Arial" w:cs="Arial"/>
        </w:rPr>
        <w:t>is</w:t>
      </w:r>
      <w:r w:rsidR="00D6533E">
        <w:rPr>
          <w:rFonts w:ascii="Arial" w:hAnsi="Arial" w:cs="Arial"/>
        </w:rPr>
        <w:t xml:space="preserve"> </w:t>
      </w:r>
      <w:r w:rsidR="00633BE3">
        <w:rPr>
          <w:rFonts w:ascii="Arial" w:hAnsi="Arial" w:cs="Arial"/>
        </w:rPr>
        <w:t xml:space="preserve">that </w:t>
      </w:r>
      <w:r w:rsidR="00251B38">
        <w:rPr>
          <w:rFonts w:ascii="Arial" w:hAnsi="Arial" w:cs="Arial"/>
        </w:rPr>
        <w:t xml:space="preserve">according to Minova </w:t>
      </w:r>
      <w:r w:rsidRPr="00D5151B">
        <w:rPr>
          <w:rFonts w:ascii="Arial" w:hAnsi="Arial" w:cs="Arial"/>
        </w:rPr>
        <w:t xml:space="preserve">the threat of supply from Arkema </w:t>
      </w:r>
      <w:r w:rsidR="00887552">
        <w:rPr>
          <w:rFonts w:ascii="Arial" w:hAnsi="Arial" w:cs="Arial"/>
        </w:rPr>
        <w:t xml:space="preserve">SA </w:t>
      </w:r>
      <w:r w:rsidRPr="00D5151B">
        <w:rPr>
          <w:rFonts w:ascii="Arial" w:hAnsi="Arial" w:cs="Arial"/>
        </w:rPr>
        <w:t xml:space="preserve">has always been an important element in </w:t>
      </w:r>
      <w:r w:rsidR="00251B38">
        <w:rPr>
          <w:rFonts w:ascii="Arial" w:hAnsi="Arial" w:cs="Arial"/>
        </w:rPr>
        <w:t>its</w:t>
      </w:r>
      <w:r w:rsidRPr="00D5151B">
        <w:rPr>
          <w:rFonts w:ascii="Arial" w:hAnsi="Arial" w:cs="Arial"/>
        </w:rPr>
        <w:t xml:space="preserve"> ability to negotiate prices with NCS</w:t>
      </w:r>
      <w:r w:rsidR="004A2A81">
        <w:rPr>
          <w:rFonts w:ascii="Arial" w:hAnsi="Arial" w:cs="Arial"/>
        </w:rPr>
        <w:t>. This is</w:t>
      </w:r>
      <w:r w:rsidRPr="00D5151B">
        <w:rPr>
          <w:rFonts w:ascii="Arial" w:hAnsi="Arial" w:cs="Arial"/>
        </w:rPr>
        <w:t xml:space="preserve"> because </w:t>
      </w:r>
      <w:r w:rsidR="00D6533E">
        <w:rPr>
          <w:rFonts w:ascii="Arial" w:hAnsi="Arial" w:cs="Arial"/>
        </w:rPr>
        <w:t>Minova</w:t>
      </w:r>
      <w:r w:rsidRPr="00D5151B">
        <w:rPr>
          <w:rFonts w:ascii="Arial" w:hAnsi="Arial" w:cs="Arial"/>
        </w:rPr>
        <w:t xml:space="preserve"> was </w:t>
      </w:r>
      <w:r w:rsidR="00D6533E">
        <w:rPr>
          <w:rFonts w:ascii="Arial" w:hAnsi="Arial" w:cs="Arial"/>
        </w:rPr>
        <w:t xml:space="preserve">very well </w:t>
      </w:r>
      <w:r w:rsidRPr="00D5151B">
        <w:rPr>
          <w:rFonts w:ascii="Arial" w:hAnsi="Arial" w:cs="Arial"/>
        </w:rPr>
        <w:t xml:space="preserve">known in the </w:t>
      </w:r>
      <w:r w:rsidR="00CF44C9">
        <w:rPr>
          <w:rFonts w:ascii="Arial" w:hAnsi="Arial" w:cs="Arial"/>
        </w:rPr>
        <w:t>industry</w:t>
      </w:r>
      <w:r w:rsidR="00D6533E">
        <w:rPr>
          <w:rFonts w:ascii="Arial" w:hAnsi="Arial" w:cs="Arial"/>
        </w:rPr>
        <w:t xml:space="preserve"> </w:t>
      </w:r>
      <w:r w:rsidRPr="00D5151B">
        <w:rPr>
          <w:rFonts w:ascii="Arial" w:hAnsi="Arial" w:cs="Arial"/>
        </w:rPr>
        <w:t>and had histor</w:t>
      </w:r>
      <w:r w:rsidR="00CF44C9">
        <w:rPr>
          <w:rFonts w:ascii="Arial" w:hAnsi="Arial" w:cs="Arial"/>
        </w:rPr>
        <w:t>icall</w:t>
      </w:r>
      <w:r w:rsidRPr="00D5151B">
        <w:rPr>
          <w:rFonts w:ascii="Arial" w:hAnsi="Arial" w:cs="Arial"/>
        </w:rPr>
        <w:t xml:space="preserve">y </w:t>
      </w:r>
      <w:r w:rsidR="00CF44C9">
        <w:rPr>
          <w:rFonts w:ascii="Arial" w:hAnsi="Arial" w:cs="Arial"/>
        </w:rPr>
        <w:t>been</w:t>
      </w:r>
      <w:r w:rsidRPr="00D5151B">
        <w:rPr>
          <w:rFonts w:ascii="Arial" w:hAnsi="Arial" w:cs="Arial"/>
        </w:rPr>
        <w:t xml:space="preserve"> </w:t>
      </w:r>
      <w:r w:rsidR="00CF44C9">
        <w:rPr>
          <w:rFonts w:ascii="Arial" w:hAnsi="Arial" w:cs="Arial"/>
        </w:rPr>
        <w:t>cap</w:t>
      </w:r>
      <w:r w:rsidRPr="00D5151B">
        <w:rPr>
          <w:rFonts w:ascii="Arial" w:hAnsi="Arial" w:cs="Arial"/>
        </w:rPr>
        <w:t xml:space="preserve">able </w:t>
      </w:r>
      <w:r w:rsidR="00CF44C9">
        <w:rPr>
          <w:rFonts w:ascii="Arial" w:hAnsi="Arial" w:cs="Arial"/>
        </w:rPr>
        <w:t>of</w:t>
      </w:r>
      <w:r w:rsidRPr="00D5151B">
        <w:rPr>
          <w:rFonts w:ascii="Arial" w:hAnsi="Arial" w:cs="Arial"/>
        </w:rPr>
        <w:t xml:space="preserve"> consistently supply</w:t>
      </w:r>
      <w:r w:rsidR="00CF44C9">
        <w:rPr>
          <w:rFonts w:ascii="Arial" w:hAnsi="Arial" w:cs="Arial"/>
        </w:rPr>
        <w:t>ing</w:t>
      </w:r>
      <w:r w:rsidRPr="00D5151B">
        <w:rPr>
          <w:rFonts w:ascii="Arial" w:hAnsi="Arial" w:cs="Arial"/>
        </w:rPr>
        <w:t xml:space="preserve"> th</w:t>
      </w:r>
      <w:r w:rsidR="00D6533E">
        <w:rPr>
          <w:rFonts w:ascii="Arial" w:hAnsi="Arial" w:cs="Arial"/>
        </w:rPr>
        <w:t>is</w:t>
      </w:r>
      <w:r w:rsidRPr="00D5151B">
        <w:rPr>
          <w:rFonts w:ascii="Arial" w:hAnsi="Arial" w:cs="Arial"/>
        </w:rPr>
        <w:t xml:space="preserve"> highly technical product. </w:t>
      </w:r>
      <w:r w:rsidR="003373B3">
        <w:rPr>
          <w:rFonts w:ascii="Arial" w:hAnsi="Arial" w:cs="Arial"/>
        </w:rPr>
        <w:t xml:space="preserve">The following exchange </w:t>
      </w:r>
      <w:r w:rsidR="00887552">
        <w:rPr>
          <w:rFonts w:ascii="Arial" w:hAnsi="Arial" w:cs="Arial"/>
        </w:rPr>
        <w:t xml:space="preserve">indicates </w:t>
      </w:r>
      <w:r w:rsidR="003373B3">
        <w:rPr>
          <w:rFonts w:ascii="Arial" w:hAnsi="Arial" w:cs="Arial"/>
        </w:rPr>
        <w:t>Duma’s view</w:t>
      </w:r>
      <w:r w:rsidR="00887552">
        <w:rPr>
          <w:rFonts w:ascii="Arial" w:hAnsi="Arial" w:cs="Arial"/>
        </w:rPr>
        <w:t xml:space="preserve"> of Arkema SA’s role</w:t>
      </w:r>
      <w:r w:rsidR="003373B3">
        <w:rPr>
          <w:rFonts w:ascii="Arial" w:hAnsi="Arial" w:cs="Arial"/>
        </w:rPr>
        <w:t>:</w:t>
      </w:r>
    </w:p>
    <w:p w:rsidR="003373B3" w:rsidRPr="00F537A7" w:rsidRDefault="003373B3" w:rsidP="003373B3">
      <w:pPr>
        <w:pStyle w:val="ListParagraph"/>
        <w:spacing w:after="240" w:line="360" w:lineRule="auto"/>
        <w:ind w:left="0"/>
        <w:jc w:val="both"/>
        <w:rPr>
          <w:rFonts w:ascii="Arial" w:hAnsi="Arial" w:cs="Arial"/>
          <w:i/>
        </w:rPr>
      </w:pPr>
      <w:r>
        <w:rPr>
          <w:rFonts w:ascii="Arial" w:hAnsi="Arial" w:cs="Arial"/>
          <w:i/>
        </w:rPr>
        <w:lastRenderedPageBreak/>
        <w:t>“</w:t>
      </w:r>
      <w:r w:rsidRPr="00F537A7">
        <w:rPr>
          <w:rFonts w:ascii="Arial" w:hAnsi="Arial" w:cs="Arial"/>
          <w:i/>
        </w:rPr>
        <w:t>MR NORTON: ... during the last 5 to 6 years, Arkema certainly wasn’t acting as a competitive constraint against NCS, correct?</w:t>
      </w:r>
    </w:p>
    <w:p w:rsidR="003373B3" w:rsidRPr="00D5151B" w:rsidRDefault="003373B3" w:rsidP="003373B3">
      <w:pPr>
        <w:pStyle w:val="ListParagraph"/>
        <w:spacing w:after="240" w:line="360" w:lineRule="auto"/>
        <w:ind w:left="0"/>
        <w:jc w:val="both"/>
        <w:rPr>
          <w:rFonts w:ascii="Arial" w:hAnsi="Arial" w:cs="Arial"/>
        </w:rPr>
      </w:pPr>
      <w:r w:rsidRPr="00F537A7">
        <w:rPr>
          <w:rFonts w:ascii="Arial" w:hAnsi="Arial" w:cs="Arial"/>
          <w:i/>
        </w:rPr>
        <w:t>MR DUMA: The t</w:t>
      </w:r>
      <w:r w:rsidR="00216FEE">
        <w:rPr>
          <w:rFonts w:ascii="Arial" w:hAnsi="Arial" w:cs="Arial"/>
          <w:i/>
        </w:rPr>
        <w:t>h</w:t>
      </w:r>
      <w:r w:rsidRPr="00F537A7">
        <w:rPr>
          <w:rFonts w:ascii="Arial" w:hAnsi="Arial" w:cs="Arial"/>
          <w:i/>
        </w:rPr>
        <w:t>reat was there</w:t>
      </w:r>
      <w:r>
        <w:rPr>
          <w:rFonts w:ascii="Arial" w:hAnsi="Arial" w:cs="Arial"/>
        </w:rPr>
        <w:t>”.</w:t>
      </w:r>
      <w:r>
        <w:rPr>
          <w:rStyle w:val="FootnoteReference"/>
          <w:rFonts w:ascii="Arial" w:hAnsi="Arial" w:cs="Arial"/>
        </w:rPr>
        <w:footnoteReference w:id="98"/>
      </w:r>
    </w:p>
    <w:p w:rsidR="00F537A7" w:rsidRPr="00F642A2" w:rsidRDefault="00931903" w:rsidP="003373B3">
      <w:pPr>
        <w:pStyle w:val="ListParagraph"/>
        <w:numPr>
          <w:ilvl w:val="0"/>
          <w:numId w:val="2"/>
        </w:numPr>
        <w:spacing w:after="240" w:line="360" w:lineRule="auto"/>
        <w:ind w:left="0" w:firstLine="0"/>
        <w:jc w:val="both"/>
        <w:rPr>
          <w:rFonts w:ascii="Arial" w:hAnsi="Arial" w:cs="Arial"/>
        </w:rPr>
      </w:pPr>
      <w:r w:rsidRPr="00F642A2">
        <w:rPr>
          <w:rFonts w:ascii="Arial" w:hAnsi="Arial" w:cs="Arial"/>
        </w:rPr>
        <w:t xml:space="preserve">Duma </w:t>
      </w:r>
      <w:r w:rsidR="003373B3" w:rsidRPr="00F642A2">
        <w:rPr>
          <w:rFonts w:ascii="Arial" w:hAnsi="Arial" w:cs="Arial"/>
        </w:rPr>
        <w:t xml:space="preserve">further </w:t>
      </w:r>
      <w:r w:rsidRPr="00F642A2">
        <w:rPr>
          <w:rFonts w:ascii="Arial" w:hAnsi="Arial" w:cs="Arial"/>
        </w:rPr>
        <w:t xml:space="preserve">testified that </w:t>
      </w:r>
      <w:r w:rsidR="00F642A2" w:rsidRPr="00F642A2">
        <w:rPr>
          <w:rFonts w:ascii="Arial" w:hAnsi="Arial" w:cs="Arial"/>
        </w:rPr>
        <w:t>“</w:t>
      </w:r>
      <w:r w:rsidR="00F642A2" w:rsidRPr="00F642A2">
        <w:rPr>
          <w:rFonts w:ascii="Arial" w:hAnsi="Arial" w:cs="Arial"/>
          <w:i/>
        </w:rPr>
        <w:t>the advantage is always there that Arkema can crack it. That’s why we’ve always allowed them [Arkema] to come in with samples, to knock at the door</w:t>
      </w:r>
      <w:r w:rsidR="00825F09">
        <w:rPr>
          <w:rFonts w:ascii="Arial" w:hAnsi="Arial" w:cs="Arial"/>
          <w:i/>
        </w:rPr>
        <w:t xml:space="preserve"> ...</w:t>
      </w:r>
      <w:r w:rsidR="00F642A2" w:rsidRPr="00F642A2">
        <w:rPr>
          <w:rFonts w:ascii="Arial" w:hAnsi="Arial" w:cs="Arial"/>
          <w:i/>
        </w:rPr>
        <w:t>, because the history that they have is that at some point they got it right. So, the threat is there</w:t>
      </w:r>
      <w:r w:rsidR="00F642A2" w:rsidRPr="00F642A2">
        <w:rPr>
          <w:rFonts w:ascii="Arial" w:hAnsi="Arial" w:cs="Arial"/>
        </w:rPr>
        <w:t>”;</w:t>
      </w:r>
      <w:r w:rsidR="00F642A2">
        <w:rPr>
          <w:rStyle w:val="FootnoteReference"/>
          <w:rFonts w:ascii="Arial" w:hAnsi="Arial" w:cs="Arial"/>
        </w:rPr>
        <w:footnoteReference w:id="99"/>
      </w:r>
      <w:r w:rsidR="00F642A2" w:rsidRPr="00F642A2">
        <w:rPr>
          <w:rFonts w:ascii="Arial" w:hAnsi="Arial" w:cs="Arial"/>
        </w:rPr>
        <w:t xml:space="preserve"> and</w:t>
      </w:r>
      <w:r w:rsidR="00F642A2">
        <w:rPr>
          <w:rFonts w:ascii="Arial" w:hAnsi="Arial" w:cs="Arial"/>
        </w:rPr>
        <w:t xml:space="preserve"> </w:t>
      </w:r>
      <w:r w:rsidRPr="00F642A2">
        <w:rPr>
          <w:rFonts w:ascii="Arial" w:hAnsi="Arial" w:cs="Arial"/>
        </w:rPr>
        <w:t>NCS “</w:t>
      </w:r>
      <w:r w:rsidRPr="00F642A2">
        <w:rPr>
          <w:rFonts w:ascii="Arial" w:hAnsi="Arial" w:cs="Arial"/>
          <w:i/>
        </w:rPr>
        <w:t>always considered them [Arkema] a threat</w:t>
      </w:r>
      <w:r w:rsidR="00F642A2" w:rsidRPr="00F642A2">
        <w:rPr>
          <w:rFonts w:ascii="Arial" w:hAnsi="Arial" w:cs="Arial"/>
          <w:i/>
        </w:rPr>
        <w:t xml:space="preserve"> ... </w:t>
      </w:r>
      <w:r w:rsidR="005E1D6A">
        <w:rPr>
          <w:rFonts w:ascii="Arial" w:hAnsi="Arial" w:cs="Arial"/>
          <w:i/>
        </w:rPr>
        <w:t>A</w:t>
      </w:r>
      <w:r w:rsidR="00F642A2" w:rsidRPr="00F642A2">
        <w:rPr>
          <w:rFonts w:ascii="Arial" w:hAnsi="Arial" w:cs="Arial"/>
          <w:i/>
        </w:rPr>
        <w:t>t the back of their minds they were always aware that I’m testing another supplier and I’m going to be looking into two suppliers</w:t>
      </w:r>
      <w:r w:rsidR="00F642A2">
        <w:rPr>
          <w:rFonts w:ascii="Arial" w:hAnsi="Arial" w:cs="Arial"/>
        </w:rPr>
        <w:t>.</w:t>
      </w:r>
      <w:r w:rsidRPr="00F642A2">
        <w:rPr>
          <w:rFonts w:ascii="Arial" w:hAnsi="Arial" w:cs="Arial"/>
        </w:rPr>
        <w:t>”</w:t>
      </w:r>
      <w:r>
        <w:rPr>
          <w:rStyle w:val="FootnoteReference"/>
          <w:rFonts w:ascii="Arial" w:hAnsi="Arial" w:cs="Arial"/>
        </w:rPr>
        <w:footnoteReference w:id="100"/>
      </w:r>
      <w:r w:rsidRPr="00F642A2">
        <w:rPr>
          <w:rFonts w:ascii="Arial" w:hAnsi="Arial" w:cs="Arial"/>
        </w:rPr>
        <w:t xml:space="preserve"> </w:t>
      </w:r>
    </w:p>
    <w:p w:rsidR="00833511" w:rsidRPr="00123BC5" w:rsidRDefault="00931903" w:rsidP="0080582B">
      <w:pPr>
        <w:pStyle w:val="ListParagraph"/>
        <w:numPr>
          <w:ilvl w:val="0"/>
          <w:numId w:val="2"/>
        </w:numPr>
        <w:spacing w:after="240" w:line="360" w:lineRule="auto"/>
        <w:ind w:left="0" w:firstLine="0"/>
        <w:jc w:val="both"/>
        <w:rPr>
          <w:rFonts w:ascii="Arial" w:hAnsi="Arial" w:cs="Arial"/>
        </w:rPr>
      </w:pPr>
      <w:r w:rsidRPr="00123BC5">
        <w:rPr>
          <w:rFonts w:ascii="Arial" w:hAnsi="Arial" w:cs="Arial"/>
        </w:rPr>
        <w:t xml:space="preserve">Regarding </w:t>
      </w:r>
      <w:r w:rsidR="00CF44C9" w:rsidRPr="00123BC5">
        <w:rPr>
          <w:rFonts w:ascii="Arial" w:hAnsi="Arial" w:cs="Arial"/>
        </w:rPr>
        <w:t>Scott Bader</w:t>
      </w:r>
      <w:r w:rsidR="00CF44C9">
        <w:rPr>
          <w:rFonts w:ascii="Arial" w:hAnsi="Arial" w:cs="Arial"/>
        </w:rPr>
        <w:t xml:space="preserve"> as a</w:t>
      </w:r>
      <w:r w:rsidR="00CF44C9" w:rsidRPr="00123BC5">
        <w:rPr>
          <w:rFonts w:ascii="Arial" w:hAnsi="Arial" w:cs="Arial"/>
        </w:rPr>
        <w:t xml:space="preserve"> </w:t>
      </w:r>
      <w:r w:rsidR="00CF44C9">
        <w:rPr>
          <w:rFonts w:ascii="Arial" w:hAnsi="Arial" w:cs="Arial"/>
        </w:rPr>
        <w:t>potential supplier</w:t>
      </w:r>
      <w:r w:rsidRPr="00123BC5">
        <w:rPr>
          <w:rFonts w:ascii="Arial" w:hAnsi="Arial" w:cs="Arial"/>
        </w:rPr>
        <w:t xml:space="preserve"> </w:t>
      </w:r>
      <w:r w:rsidR="00FF04C0">
        <w:rPr>
          <w:rFonts w:ascii="Arial" w:hAnsi="Arial" w:cs="Arial"/>
        </w:rPr>
        <w:t>of mining UPR</w:t>
      </w:r>
      <w:r w:rsidRPr="00123BC5">
        <w:rPr>
          <w:rFonts w:ascii="Arial" w:hAnsi="Arial" w:cs="Arial"/>
        </w:rPr>
        <w:t xml:space="preserve">, </w:t>
      </w:r>
      <w:r w:rsidR="00FF04C0">
        <w:rPr>
          <w:rFonts w:ascii="Arial" w:hAnsi="Arial" w:cs="Arial"/>
        </w:rPr>
        <w:t xml:space="preserve">we note that </w:t>
      </w:r>
      <w:r w:rsidRPr="00123BC5">
        <w:rPr>
          <w:rFonts w:ascii="Arial" w:hAnsi="Arial" w:cs="Arial"/>
        </w:rPr>
        <w:t>Scott Bader is not currently a qualified supplier</w:t>
      </w:r>
      <w:r w:rsidR="00D6533E" w:rsidRPr="00123BC5">
        <w:rPr>
          <w:rFonts w:ascii="Arial" w:hAnsi="Arial" w:cs="Arial"/>
        </w:rPr>
        <w:t xml:space="preserve"> to Minova</w:t>
      </w:r>
      <w:r w:rsidRPr="00123BC5">
        <w:rPr>
          <w:rFonts w:ascii="Arial" w:hAnsi="Arial" w:cs="Arial"/>
        </w:rPr>
        <w:t xml:space="preserve">. </w:t>
      </w:r>
      <w:r w:rsidR="00EA188E" w:rsidRPr="00123BC5">
        <w:rPr>
          <w:rFonts w:ascii="Arial" w:hAnsi="Arial" w:cs="Arial"/>
        </w:rPr>
        <w:t xml:space="preserve">Scott Bader </w:t>
      </w:r>
      <w:r w:rsidR="00AF1A6B" w:rsidRPr="00123BC5">
        <w:rPr>
          <w:rFonts w:ascii="Arial" w:hAnsi="Arial" w:cs="Arial"/>
        </w:rPr>
        <w:t xml:space="preserve">however </w:t>
      </w:r>
      <w:r w:rsidR="00EA188E" w:rsidRPr="00123BC5">
        <w:rPr>
          <w:rFonts w:ascii="Arial" w:hAnsi="Arial" w:cs="Arial"/>
        </w:rPr>
        <w:t>supplie</w:t>
      </w:r>
      <w:r w:rsidR="00AF1A6B" w:rsidRPr="00123BC5">
        <w:rPr>
          <w:rFonts w:ascii="Arial" w:hAnsi="Arial" w:cs="Arial"/>
        </w:rPr>
        <w:t>d</w:t>
      </w:r>
      <w:r w:rsidR="00EA188E" w:rsidRPr="00123BC5">
        <w:rPr>
          <w:rFonts w:ascii="Arial" w:hAnsi="Arial" w:cs="Arial"/>
        </w:rPr>
        <w:t xml:space="preserve"> </w:t>
      </w:r>
      <w:r w:rsidR="007A2FB7" w:rsidRPr="00123BC5">
        <w:rPr>
          <w:rFonts w:ascii="Arial" w:hAnsi="Arial" w:cs="Arial"/>
        </w:rPr>
        <w:t xml:space="preserve">significant quantities of </w:t>
      </w:r>
      <w:r w:rsidR="00EA188E" w:rsidRPr="00123BC5">
        <w:rPr>
          <w:rFonts w:ascii="Arial" w:hAnsi="Arial" w:cs="Arial"/>
        </w:rPr>
        <w:t xml:space="preserve">resin to Minova in </w:t>
      </w:r>
      <w:r w:rsidR="00AF1A6B" w:rsidRPr="00123BC5">
        <w:rPr>
          <w:rFonts w:ascii="Arial" w:hAnsi="Arial" w:cs="Arial"/>
        </w:rPr>
        <w:t xml:space="preserve">2010 </w:t>
      </w:r>
      <w:r w:rsidR="007A2FB7" w:rsidRPr="00123BC5">
        <w:rPr>
          <w:rFonts w:ascii="Arial" w:hAnsi="Arial" w:cs="Arial"/>
        </w:rPr>
        <w:t>and</w:t>
      </w:r>
      <w:r w:rsidR="00AF1A6B" w:rsidRPr="00123BC5">
        <w:rPr>
          <w:rFonts w:ascii="Arial" w:hAnsi="Arial" w:cs="Arial"/>
        </w:rPr>
        <w:t xml:space="preserve"> 2012 (</w:t>
      </w:r>
      <w:r w:rsidR="007A2FB7" w:rsidRPr="00123BC5">
        <w:rPr>
          <w:rFonts w:ascii="Arial" w:hAnsi="Arial" w:cs="Arial"/>
        </w:rPr>
        <w:t>and significantly less in 2011 and insignificant</w:t>
      </w:r>
      <w:r w:rsidR="00AF1A6B" w:rsidRPr="00123BC5">
        <w:rPr>
          <w:rFonts w:ascii="Arial" w:hAnsi="Arial" w:cs="Arial"/>
        </w:rPr>
        <w:t xml:space="preserve"> batches in 2013 and 2014</w:t>
      </w:r>
      <w:r w:rsidR="00D6533E" w:rsidRPr="00123BC5">
        <w:rPr>
          <w:rFonts w:ascii="Arial" w:hAnsi="Arial" w:cs="Arial"/>
        </w:rPr>
        <w:t xml:space="preserve"> respectively</w:t>
      </w:r>
      <w:r w:rsidR="00AF1A6B" w:rsidRPr="00123BC5">
        <w:rPr>
          <w:rFonts w:ascii="Arial" w:hAnsi="Arial" w:cs="Arial"/>
        </w:rPr>
        <w:t xml:space="preserve">). </w:t>
      </w:r>
      <w:r w:rsidR="00123BC5" w:rsidRPr="00123BC5">
        <w:rPr>
          <w:rFonts w:ascii="Arial" w:hAnsi="Arial" w:cs="Arial"/>
        </w:rPr>
        <w:t xml:space="preserve">The evidence has shown that </w:t>
      </w:r>
      <w:r w:rsidR="00D6533E" w:rsidRPr="00123BC5">
        <w:rPr>
          <w:rFonts w:ascii="Arial" w:hAnsi="Arial" w:cs="Arial"/>
        </w:rPr>
        <w:t>Scott Bader’s product failed within short periods of being qualified</w:t>
      </w:r>
      <w:r w:rsidR="00826FC6" w:rsidRPr="00123BC5">
        <w:rPr>
          <w:rFonts w:ascii="Arial" w:hAnsi="Arial" w:cs="Arial"/>
        </w:rPr>
        <w:t xml:space="preserve"> due to viscosity problems</w:t>
      </w:r>
      <w:r w:rsidR="00D6533E" w:rsidRPr="00123BC5">
        <w:rPr>
          <w:rFonts w:ascii="Arial" w:hAnsi="Arial" w:cs="Arial"/>
        </w:rPr>
        <w:t>.</w:t>
      </w:r>
      <w:r w:rsidR="00D6533E" w:rsidRPr="004F7170">
        <w:rPr>
          <w:rStyle w:val="FootnoteReference"/>
          <w:rFonts w:ascii="Arial" w:hAnsi="Arial" w:cs="Arial"/>
        </w:rPr>
        <w:footnoteReference w:id="101"/>
      </w:r>
      <w:r w:rsidR="00D6533E" w:rsidRPr="00123BC5">
        <w:rPr>
          <w:rFonts w:ascii="Arial" w:hAnsi="Arial" w:cs="Arial"/>
        </w:rPr>
        <w:t xml:space="preserve"> </w:t>
      </w:r>
      <w:r w:rsidR="00FF04C0">
        <w:rPr>
          <w:rFonts w:ascii="Arial" w:hAnsi="Arial" w:cs="Arial"/>
        </w:rPr>
        <w:t xml:space="preserve">Although </w:t>
      </w:r>
      <w:r w:rsidR="00D6533E" w:rsidRPr="00123BC5">
        <w:rPr>
          <w:rFonts w:ascii="Arial" w:hAnsi="Arial" w:cs="Arial"/>
        </w:rPr>
        <w:t xml:space="preserve">Duma indicated that Minova was </w:t>
      </w:r>
      <w:r w:rsidR="00AC157E" w:rsidRPr="00123BC5">
        <w:rPr>
          <w:rFonts w:ascii="Arial" w:hAnsi="Arial" w:cs="Arial"/>
        </w:rPr>
        <w:t xml:space="preserve">confident that it knows </w:t>
      </w:r>
      <w:r w:rsidR="00D6533E" w:rsidRPr="00123BC5">
        <w:rPr>
          <w:rFonts w:ascii="Arial" w:hAnsi="Arial" w:cs="Arial"/>
        </w:rPr>
        <w:t>the source of the difficulties experienced by Scott Bader,</w:t>
      </w:r>
      <w:r w:rsidR="00D6533E">
        <w:rPr>
          <w:rStyle w:val="FootnoteReference"/>
          <w:rFonts w:ascii="Arial" w:hAnsi="Arial" w:cs="Arial"/>
        </w:rPr>
        <w:footnoteReference w:id="102"/>
      </w:r>
      <w:r w:rsidR="00D6533E" w:rsidRPr="00123BC5">
        <w:rPr>
          <w:rFonts w:ascii="Arial" w:hAnsi="Arial" w:cs="Arial"/>
        </w:rPr>
        <w:t xml:space="preserve"> </w:t>
      </w:r>
      <w:r w:rsidR="00FF04C0">
        <w:rPr>
          <w:rFonts w:ascii="Arial" w:hAnsi="Arial" w:cs="Arial"/>
        </w:rPr>
        <w:t>it</w:t>
      </w:r>
      <w:r w:rsidR="00AF1A6B" w:rsidRPr="00123BC5">
        <w:rPr>
          <w:rFonts w:ascii="Arial" w:hAnsi="Arial" w:cs="Arial"/>
        </w:rPr>
        <w:t xml:space="preserve"> has not been re-qualified.</w:t>
      </w:r>
      <w:r w:rsidR="000E7802" w:rsidRPr="00123BC5">
        <w:rPr>
          <w:rFonts w:ascii="Arial" w:hAnsi="Arial" w:cs="Arial"/>
        </w:rPr>
        <w:t xml:space="preserve"> </w:t>
      </w:r>
      <w:r w:rsidRPr="00123BC5">
        <w:rPr>
          <w:rFonts w:ascii="Arial" w:hAnsi="Arial" w:cs="Arial"/>
        </w:rPr>
        <w:t xml:space="preserve">Whilst Minova testified that it believes it can qualify Scott Bader in the future, this will not be a quick process and Scott Bader will further have to demonstrate that it is a real alternative </w:t>
      </w:r>
      <w:r w:rsidR="00D4057C" w:rsidRPr="00123BC5">
        <w:rPr>
          <w:rFonts w:ascii="Arial" w:hAnsi="Arial" w:cs="Arial"/>
        </w:rPr>
        <w:t xml:space="preserve">(to the merged entity) </w:t>
      </w:r>
      <w:r w:rsidRPr="00123BC5">
        <w:rPr>
          <w:rFonts w:ascii="Arial" w:hAnsi="Arial" w:cs="Arial"/>
        </w:rPr>
        <w:t>over the longer term.</w:t>
      </w:r>
      <w:r w:rsidRPr="004F7170">
        <w:rPr>
          <w:rStyle w:val="FootnoteReference"/>
          <w:rFonts w:ascii="Arial" w:hAnsi="Arial" w:cs="Arial"/>
        </w:rPr>
        <w:footnoteReference w:id="103"/>
      </w:r>
      <w:r w:rsidRPr="00123BC5">
        <w:rPr>
          <w:rFonts w:ascii="Arial" w:hAnsi="Arial" w:cs="Arial"/>
        </w:rPr>
        <w:t xml:space="preserve"> </w:t>
      </w:r>
    </w:p>
    <w:p w:rsidR="00C74AA3" w:rsidRPr="005E5985" w:rsidRDefault="00123BC5" w:rsidP="008D1480">
      <w:pPr>
        <w:pStyle w:val="ListParagraph"/>
        <w:numPr>
          <w:ilvl w:val="0"/>
          <w:numId w:val="2"/>
        </w:numPr>
        <w:spacing w:after="240" w:line="360" w:lineRule="auto"/>
        <w:ind w:left="0" w:firstLine="0"/>
        <w:jc w:val="both"/>
        <w:rPr>
          <w:rFonts w:ascii="Arial" w:hAnsi="Arial" w:cs="Arial"/>
        </w:rPr>
      </w:pPr>
      <w:r>
        <w:rPr>
          <w:rFonts w:ascii="Arial" w:hAnsi="Arial" w:cs="Arial"/>
        </w:rPr>
        <w:t xml:space="preserve">With regards to KZN Resins as a potential supplier, </w:t>
      </w:r>
      <w:r w:rsidR="00833511" w:rsidRPr="00392CC0">
        <w:rPr>
          <w:rFonts w:ascii="Arial" w:hAnsi="Arial" w:cs="Arial"/>
        </w:rPr>
        <w:t xml:space="preserve">Minova </w:t>
      </w:r>
      <w:r>
        <w:rPr>
          <w:rFonts w:ascii="Arial" w:hAnsi="Arial" w:cs="Arial"/>
        </w:rPr>
        <w:t>indicated that it did</w:t>
      </w:r>
      <w:r w:rsidR="00833511" w:rsidRPr="00392CC0">
        <w:rPr>
          <w:rFonts w:ascii="Arial" w:hAnsi="Arial" w:cs="Arial"/>
        </w:rPr>
        <w:t xml:space="preserve"> not consider </w:t>
      </w:r>
      <w:r w:rsidR="00931903" w:rsidRPr="00392CC0">
        <w:rPr>
          <w:rFonts w:ascii="Arial" w:hAnsi="Arial" w:cs="Arial"/>
        </w:rPr>
        <w:t xml:space="preserve">KZN Resins a possible alternative </w:t>
      </w:r>
      <w:r w:rsidR="00833511" w:rsidRPr="00392CC0">
        <w:rPr>
          <w:rFonts w:ascii="Arial" w:hAnsi="Arial" w:cs="Arial"/>
        </w:rPr>
        <w:t>source of supply</w:t>
      </w:r>
      <w:r w:rsidR="004D5532" w:rsidRPr="00392CC0">
        <w:rPr>
          <w:rFonts w:ascii="Arial" w:hAnsi="Arial" w:cs="Arial"/>
        </w:rPr>
        <w:t xml:space="preserve">, at least </w:t>
      </w:r>
      <w:r w:rsidR="00833511" w:rsidRPr="00392CC0">
        <w:rPr>
          <w:rFonts w:ascii="Arial" w:hAnsi="Arial" w:cs="Arial"/>
        </w:rPr>
        <w:t>o</w:t>
      </w:r>
      <w:r w:rsidR="004D5532" w:rsidRPr="00392CC0">
        <w:rPr>
          <w:rFonts w:ascii="Arial" w:hAnsi="Arial" w:cs="Arial"/>
        </w:rPr>
        <w:t>ver</w:t>
      </w:r>
      <w:r w:rsidR="00833511" w:rsidRPr="00392CC0">
        <w:rPr>
          <w:rFonts w:ascii="Arial" w:hAnsi="Arial" w:cs="Arial"/>
        </w:rPr>
        <w:t xml:space="preserve"> the short-</w:t>
      </w:r>
      <w:r w:rsidR="00D20915" w:rsidRPr="00392CC0">
        <w:rPr>
          <w:rFonts w:ascii="Arial" w:hAnsi="Arial" w:cs="Arial"/>
        </w:rPr>
        <w:t xml:space="preserve"> to medium</w:t>
      </w:r>
      <w:r w:rsidR="00A34FB3">
        <w:rPr>
          <w:rFonts w:ascii="Arial" w:hAnsi="Arial" w:cs="Arial"/>
        </w:rPr>
        <w:t>-</w:t>
      </w:r>
      <w:r w:rsidR="00833511" w:rsidRPr="00392CC0">
        <w:rPr>
          <w:rFonts w:ascii="Arial" w:hAnsi="Arial" w:cs="Arial"/>
        </w:rPr>
        <w:t>term</w:t>
      </w:r>
      <w:r w:rsidR="00931903" w:rsidRPr="00392CC0">
        <w:rPr>
          <w:rFonts w:ascii="Arial" w:hAnsi="Arial" w:cs="Arial"/>
        </w:rPr>
        <w:t>.</w:t>
      </w:r>
      <w:r w:rsidR="00392CC0" w:rsidRPr="00392CC0">
        <w:rPr>
          <w:rFonts w:ascii="Arial" w:hAnsi="Arial" w:cs="Arial"/>
        </w:rPr>
        <w:t xml:space="preserve"> KZN Resins has never shown an</w:t>
      </w:r>
      <w:r w:rsidR="005E5985">
        <w:rPr>
          <w:rFonts w:ascii="Arial" w:hAnsi="Arial" w:cs="Arial"/>
        </w:rPr>
        <w:t>y interest in supplying Minova and t</w:t>
      </w:r>
      <w:r w:rsidR="00AA173E">
        <w:rPr>
          <w:rFonts w:ascii="Arial" w:hAnsi="Arial" w:cs="Arial"/>
        </w:rPr>
        <w:t xml:space="preserve">o </w:t>
      </w:r>
      <w:proofErr w:type="gramStart"/>
      <w:r w:rsidR="00AA173E">
        <w:rPr>
          <w:rFonts w:ascii="Arial" w:hAnsi="Arial" w:cs="Arial"/>
        </w:rPr>
        <w:t>date,</w:t>
      </w:r>
      <w:proofErr w:type="gramEnd"/>
      <w:r w:rsidR="00AA173E">
        <w:rPr>
          <w:rFonts w:ascii="Arial" w:hAnsi="Arial" w:cs="Arial"/>
        </w:rPr>
        <w:t xml:space="preserve"> </w:t>
      </w:r>
      <w:r w:rsidR="00A34FB3" w:rsidRPr="00392CC0">
        <w:rPr>
          <w:rFonts w:ascii="Arial" w:hAnsi="Arial" w:cs="Arial"/>
        </w:rPr>
        <w:t xml:space="preserve">Minova </w:t>
      </w:r>
      <w:r w:rsidR="00A34FB3">
        <w:rPr>
          <w:rFonts w:ascii="Arial" w:hAnsi="Arial" w:cs="Arial"/>
        </w:rPr>
        <w:t>has tested n</w:t>
      </w:r>
      <w:r w:rsidR="00392CC0" w:rsidRPr="00392CC0">
        <w:rPr>
          <w:rFonts w:ascii="Arial" w:hAnsi="Arial" w:cs="Arial"/>
        </w:rPr>
        <w:t>o samples from KZN Resins</w:t>
      </w:r>
      <w:r w:rsidR="00AA173E">
        <w:rPr>
          <w:rFonts w:ascii="Arial" w:hAnsi="Arial" w:cs="Arial"/>
        </w:rPr>
        <w:t xml:space="preserve"> whatsoever</w:t>
      </w:r>
      <w:r w:rsidR="00392CC0" w:rsidRPr="00392CC0">
        <w:rPr>
          <w:rFonts w:ascii="Arial" w:hAnsi="Arial" w:cs="Arial"/>
        </w:rPr>
        <w:t>.</w:t>
      </w:r>
      <w:r w:rsidR="00931903" w:rsidRPr="00B47BEA">
        <w:rPr>
          <w:rStyle w:val="FootnoteReference"/>
          <w:rFonts w:ascii="Arial" w:hAnsi="Arial" w:cs="Arial"/>
        </w:rPr>
        <w:footnoteReference w:id="104"/>
      </w:r>
    </w:p>
    <w:p w:rsidR="008D1480" w:rsidRPr="008D1480" w:rsidRDefault="008D1480" w:rsidP="008D1480">
      <w:pPr>
        <w:pStyle w:val="ListParagraph"/>
        <w:spacing w:after="240" w:line="360" w:lineRule="auto"/>
        <w:ind w:left="0"/>
        <w:jc w:val="both"/>
        <w:rPr>
          <w:rFonts w:ascii="Arial" w:hAnsi="Arial" w:cs="Arial"/>
          <w:i/>
        </w:rPr>
      </w:pPr>
      <w:r w:rsidRPr="008D1480">
        <w:rPr>
          <w:rFonts w:ascii="Arial" w:hAnsi="Arial" w:cs="Arial"/>
          <w:i/>
        </w:rPr>
        <w:t>Rocbolt</w:t>
      </w:r>
    </w:p>
    <w:p w:rsidR="00F25377" w:rsidRPr="00B2447B" w:rsidRDefault="008D1480" w:rsidP="0080582B">
      <w:pPr>
        <w:pStyle w:val="ListParagraph"/>
        <w:numPr>
          <w:ilvl w:val="0"/>
          <w:numId w:val="2"/>
        </w:numPr>
        <w:spacing w:after="240" w:line="360" w:lineRule="auto"/>
        <w:ind w:left="0" w:firstLine="0"/>
        <w:jc w:val="both"/>
        <w:rPr>
          <w:rFonts w:ascii="Arial" w:hAnsi="Arial" w:cs="Arial"/>
        </w:rPr>
      </w:pPr>
      <w:r>
        <w:rPr>
          <w:rFonts w:ascii="Arial" w:hAnsi="Arial" w:cs="Arial"/>
        </w:rPr>
        <w:lastRenderedPageBreak/>
        <w:t>H</w:t>
      </w:r>
      <w:r w:rsidR="00931903" w:rsidRPr="00B2447B">
        <w:rPr>
          <w:rFonts w:ascii="Arial" w:hAnsi="Arial" w:cs="Arial"/>
        </w:rPr>
        <w:t xml:space="preserve">istorically Arkema </w:t>
      </w:r>
      <w:r w:rsidR="004D5532" w:rsidRPr="00B2447B">
        <w:rPr>
          <w:rFonts w:ascii="Arial" w:hAnsi="Arial" w:cs="Arial"/>
        </w:rPr>
        <w:t xml:space="preserve">SA </w:t>
      </w:r>
      <w:r w:rsidR="00931903" w:rsidRPr="00B2447B">
        <w:rPr>
          <w:rFonts w:ascii="Arial" w:hAnsi="Arial" w:cs="Arial"/>
        </w:rPr>
        <w:t xml:space="preserve">was </w:t>
      </w:r>
      <w:r>
        <w:rPr>
          <w:rFonts w:ascii="Arial" w:hAnsi="Arial" w:cs="Arial"/>
        </w:rPr>
        <w:t>Rocbolt’s</w:t>
      </w:r>
      <w:r w:rsidR="00931903" w:rsidRPr="00B2447B">
        <w:rPr>
          <w:rFonts w:ascii="Arial" w:hAnsi="Arial" w:cs="Arial"/>
        </w:rPr>
        <w:t xml:space="preserve"> primary supplier</w:t>
      </w:r>
      <w:r w:rsidR="00250635" w:rsidRPr="00B2447B">
        <w:rPr>
          <w:rFonts w:ascii="Arial" w:hAnsi="Arial" w:cs="Arial"/>
        </w:rPr>
        <w:t>.</w:t>
      </w:r>
      <w:r w:rsidR="00931903">
        <w:rPr>
          <w:rStyle w:val="FootnoteReference"/>
          <w:rFonts w:ascii="Arial" w:hAnsi="Arial" w:cs="Arial"/>
        </w:rPr>
        <w:footnoteReference w:id="105"/>
      </w:r>
      <w:r w:rsidR="00931903" w:rsidRPr="00B2447B">
        <w:rPr>
          <w:rFonts w:ascii="Arial" w:hAnsi="Arial" w:cs="Arial"/>
        </w:rPr>
        <w:t xml:space="preserve"> </w:t>
      </w:r>
      <w:r w:rsidR="00250635" w:rsidRPr="00B2447B">
        <w:rPr>
          <w:rFonts w:ascii="Arial" w:hAnsi="Arial" w:cs="Arial"/>
        </w:rPr>
        <w:t>Prior to 2010, Arkema SA had been a major supplier to Rocbolt and, in fact, there were periods when Arkema SA was Rocbolt’s sole supplier. W</w:t>
      </w:r>
      <w:r w:rsidR="00931903" w:rsidRPr="00B2447B">
        <w:rPr>
          <w:rFonts w:ascii="Arial" w:hAnsi="Arial" w:cs="Arial"/>
        </w:rPr>
        <w:t xml:space="preserve">hilst not supplying </w:t>
      </w:r>
      <w:r w:rsidR="00250635" w:rsidRPr="00B2447B">
        <w:rPr>
          <w:rFonts w:ascii="Arial" w:hAnsi="Arial" w:cs="Arial"/>
        </w:rPr>
        <w:t xml:space="preserve">Rocbolt </w:t>
      </w:r>
      <w:r w:rsidR="005E5985">
        <w:rPr>
          <w:rFonts w:ascii="Arial" w:hAnsi="Arial" w:cs="Arial"/>
        </w:rPr>
        <w:t>between</w:t>
      </w:r>
      <w:r w:rsidR="00931903" w:rsidRPr="00B2447B">
        <w:rPr>
          <w:rFonts w:ascii="Arial" w:hAnsi="Arial" w:cs="Arial"/>
        </w:rPr>
        <w:t xml:space="preserve"> </w:t>
      </w:r>
      <w:r w:rsidR="005E5985">
        <w:rPr>
          <w:rFonts w:ascii="Arial" w:hAnsi="Arial" w:cs="Arial"/>
        </w:rPr>
        <w:t xml:space="preserve">for </w:t>
      </w:r>
      <w:r w:rsidR="00931903" w:rsidRPr="00B2447B">
        <w:rPr>
          <w:rFonts w:ascii="Arial" w:hAnsi="Arial" w:cs="Arial"/>
        </w:rPr>
        <w:t>2010</w:t>
      </w:r>
      <w:r w:rsidR="005E5985">
        <w:rPr>
          <w:rFonts w:ascii="Arial" w:hAnsi="Arial" w:cs="Arial"/>
        </w:rPr>
        <w:t>, 2011 and much of 2012</w:t>
      </w:r>
      <w:r w:rsidR="004D5532" w:rsidRPr="00B2447B">
        <w:rPr>
          <w:rFonts w:ascii="Arial" w:hAnsi="Arial" w:cs="Arial"/>
        </w:rPr>
        <w:t>, Arkema SA was</w:t>
      </w:r>
      <w:r w:rsidR="005E5985">
        <w:rPr>
          <w:rFonts w:ascii="Arial" w:hAnsi="Arial" w:cs="Arial"/>
        </w:rPr>
        <w:t xml:space="preserve"> requalified at the end of 2012.</w:t>
      </w:r>
      <w:r w:rsidR="004D5532" w:rsidRPr="00B2447B">
        <w:rPr>
          <w:rFonts w:ascii="Arial" w:hAnsi="Arial" w:cs="Arial"/>
        </w:rPr>
        <w:t xml:space="preserve"> Hahn</w:t>
      </w:r>
      <w:r w:rsidR="005E5985">
        <w:rPr>
          <w:rFonts w:ascii="Arial" w:hAnsi="Arial" w:cs="Arial"/>
        </w:rPr>
        <w:t xml:space="preserve"> did however indicate</w:t>
      </w:r>
      <w:r w:rsidR="004D5532" w:rsidRPr="00B2447B">
        <w:rPr>
          <w:rFonts w:ascii="Arial" w:hAnsi="Arial" w:cs="Arial"/>
        </w:rPr>
        <w:t xml:space="preserve"> that the requalification might have been quicker if Rocbolt had not been satisfied with the quality of the NCS product it was purchasing.</w:t>
      </w:r>
      <w:r w:rsidR="004D5532">
        <w:rPr>
          <w:rStyle w:val="FootnoteReference"/>
          <w:rFonts w:ascii="Arial" w:hAnsi="Arial" w:cs="Arial"/>
        </w:rPr>
        <w:footnoteReference w:id="106"/>
      </w:r>
      <w:r w:rsidR="00931903" w:rsidRPr="00B2447B">
        <w:rPr>
          <w:rFonts w:ascii="Arial" w:hAnsi="Arial" w:cs="Arial"/>
        </w:rPr>
        <w:t xml:space="preserve"> </w:t>
      </w:r>
      <w:r w:rsidR="002D1EF2" w:rsidRPr="00B2447B">
        <w:rPr>
          <w:rFonts w:ascii="Arial" w:hAnsi="Arial" w:cs="Arial"/>
        </w:rPr>
        <w:t xml:space="preserve">Hahn emphasised that the process of qualifying a </w:t>
      </w:r>
      <w:r w:rsidR="005E5985">
        <w:rPr>
          <w:rFonts w:ascii="Arial" w:hAnsi="Arial" w:cs="Arial"/>
        </w:rPr>
        <w:t>previous</w:t>
      </w:r>
      <w:r w:rsidR="002D1EF2" w:rsidRPr="00B2447B">
        <w:rPr>
          <w:rFonts w:ascii="Arial" w:hAnsi="Arial" w:cs="Arial"/>
        </w:rPr>
        <w:t xml:space="preserve"> supplier “</w:t>
      </w:r>
      <w:r w:rsidR="002D1EF2" w:rsidRPr="00B2447B">
        <w:rPr>
          <w:rFonts w:ascii="Arial" w:hAnsi="Arial" w:cs="Arial"/>
          <w:i/>
        </w:rPr>
        <w:t>shouldn’t be confused with the process that’s involved in qualifying a brand new supplier who has never supplied us before</w:t>
      </w:r>
      <w:r w:rsidR="006933FA" w:rsidRPr="00B2447B">
        <w:rPr>
          <w:rFonts w:ascii="Arial" w:hAnsi="Arial" w:cs="Arial"/>
        </w:rPr>
        <w:t>.</w:t>
      </w:r>
      <w:r w:rsidR="002D1EF2" w:rsidRPr="00B2447B">
        <w:rPr>
          <w:rFonts w:ascii="Arial" w:hAnsi="Arial" w:cs="Arial"/>
        </w:rPr>
        <w:t>”</w:t>
      </w:r>
      <w:r w:rsidR="006933FA">
        <w:rPr>
          <w:rStyle w:val="FootnoteReference"/>
          <w:rFonts w:ascii="Arial" w:hAnsi="Arial" w:cs="Arial"/>
        </w:rPr>
        <w:footnoteReference w:id="107"/>
      </w:r>
      <w:r w:rsidR="00B2447B" w:rsidRPr="00B2447B">
        <w:rPr>
          <w:rFonts w:ascii="Arial" w:hAnsi="Arial" w:cs="Arial"/>
        </w:rPr>
        <w:t xml:space="preserve"> </w:t>
      </w:r>
      <w:r w:rsidR="00931903" w:rsidRPr="00B2447B">
        <w:rPr>
          <w:rFonts w:ascii="Arial" w:hAnsi="Arial" w:cs="Arial"/>
        </w:rPr>
        <w:t>Arkema supplied Rocbolt throughout</w:t>
      </w:r>
      <w:r w:rsidR="00AA173E">
        <w:rPr>
          <w:rFonts w:ascii="Arial" w:hAnsi="Arial" w:cs="Arial"/>
        </w:rPr>
        <w:t xml:space="preserve"> much of</w:t>
      </w:r>
      <w:r w:rsidR="00931903" w:rsidRPr="00B2447B">
        <w:rPr>
          <w:rFonts w:ascii="Arial" w:hAnsi="Arial" w:cs="Arial"/>
        </w:rPr>
        <w:t xml:space="preserve"> 2013</w:t>
      </w:r>
      <w:r w:rsidR="004D5532" w:rsidRPr="00B2447B">
        <w:rPr>
          <w:rFonts w:ascii="Arial" w:hAnsi="Arial" w:cs="Arial"/>
        </w:rPr>
        <w:t>,</w:t>
      </w:r>
      <w:r w:rsidR="00931903">
        <w:rPr>
          <w:rStyle w:val="FootnoteReference"/>
          <w:rFonts w:ascii="Arial" w:hAnsi="Arial" w:cs="Arial"/>
        </w:rPr>
        <w:footnoteReference w:id="108"/>
      </w:r>
      <w:r w:rsidR="00931903" w:rsidRPr="00B2447B">
        <w:rPr>
          <w:rFonts w:ascii="Arial" w:hAnsi="Arial" w:cs="Arial"/>
        </w:rPr>
        <w:t xml:space="preserve"> </w:t>
      </w:r>
      <w:r w:rsidR="00D905E2">
        <w:rPr>
          <w:rFonts w:ascii="Arial" w:hAnsi="Arial" w:cs="Arial"/>
        </w:rPr>
        <w:t>[...]</w:t>
      </w:r>
      <w:r w:rsidR="00931903" w:rsidRPr="00B2447B">
        <w:rPr>
          <w:rFonts w:ascii="Arial" w:hAnsi="Arial" w:cs="Arial"/>
        </w:rPr>
        <w:t xml:space="preserve"> </w:t>
      </w:r>
      <w:r w:rsidR="00AA173E">
        <w:rPr>
          <w:rFonts w:ascii="Arial" w:hAnsi="Arial" w:cs="Arial"/>
        </w:rPr>
        <w:t>that year</w:t>
      </w:r>
      <w:r w:rsidR="00144183" w:rsidRPr="00B2447B">
        <w:rPr>
          <w:rFonts w:ascii="Arial" w:hAnsi="Arial" w:cs="Arial"/>
        </w:rPr>
        <w:t>.</w:t>
      </w:r>
      <w:r w:rsidR="004251FC">
        <w:rPr>
          <w:rStyle w:val="FootnoteReference"/>
          <w:rFonts w:ascii="Arial" w:hAnsi="Arial" w:cs="Arial"/>
        </w:rPr>
        <w:footnoteReference w:id="109"/>
      </w:r>
      <w:r w:rsidR="00931903" w:rsidRPr="00B2447B">
        <w:rPr>
          <w:rFonts w:ascii="Arial" w:hAnsi="Arial" w:cs="Arial"/>
        </w:rPr>
        <w:t xml:space="preserve"> </w:t>
      </w:r>
    </w:p>
    <w:p w:rsidR="00766BB1" w:rsidRPr="008B25DE" w:rsidRDefault="004862C2" w:rsidP="0080582B">
      <w:pPr>
        <w:pStyle w:val="ListParagraph"/>
        <w:numPr>
          <w:ilvl w:val="0"/>
          <w:numId w:val="2"/>
        </w:numPr>
        <w:spacing w:after="240" w:line="360" w:lineRule="auto"/>
        <w:ind w:left="0" w:firstLine="0"/>
        <w:jc w:val="both"/>
        <w:rPr>
          <w:rFonts w:ascii="Arial" w:hAnsi="Arial" w:cs="Arial"/>
        </w:rPr>
      </w:pPr>
      <w:r>
        <w:rPr>
          <w:rFonts w:ascii="Arial" w:hAnsi="Arial" w:cs="Arial"/>
        </w:rPr>
        <w:t xml:space="preserve">From a competition perspective, </w:t>
      </w:r>
      <w:r w:rsidR="008B25DE" w:rsidRPr="008B25DE">
        <w:rPr>
          <w:rFonts w:ascii="Arial" w:hAnsi="Arial" w:cs="Arial"/>
        </w:rPr>
        <w:t>Hahn confirmed that Rocbolt, prior to the proposed merger, was able to play the merging parties against each other and get the best possible price</w:t>
      </w:r>
      <w:r w:rsidR="00AA173E">
        <w:rPr>
          <w:rFonts w:ascii="Arial" w:hAnsi="Arial" w:cs="Arial"/>
        </w:rPr>
        <w:t>;</w:t>
      </w:r>
      <w:r w:rsidR="008B25DE" w:rsidRPr="008B25DE">
        <w:rPr>
          <w:rFonts w:ascii="Arial" w:hAnsi="Arial" w:cs="Arial"/>
        </w:rPr>
        <w:t xml:space="preserve"> and that he was concerned that this negotiating power may be lost </w:t>
      </w:r>
      <w:r w:rsidR="00F17354">
        <w:rPr>
          <w:rFonts w:ascii="Arial" w:hAnsi="Arial" w:cs="Arial"/>
        </w:rPr>
        <w:t xml:space="preserve">after the proposed </w:t>
      </w:r>
      <w:r w:rsidR="008B25DE" w:rsidRPr="008B25DE">
        <w:rPr>
          <w:rFonts w:ascii="Arial" w:hAnsi="Arial" w:cs="Arial"/>
        </w:rPr>
        <w:t>merger.</w:t>
      </w:r>
      <w:r w:rsidR="00931903">
        <w:rPr>
          <w:rStyle w:val="FootnoteReference"/>
          <w:rFonts w:ascii="Arial" w:hAnsi="Arial" w:cs="Arial"/>
        </w:rPr>
        <w:footnoteReference w:id="110"/>
      </w:r>
      <w:r w:rsidR="00931903" w:rsidRPr="008B25DE">
        <w:rPr>
          <w:rFonts w:ascii="Arial" w:hAnsi="Arial" w:cs="Arial"/>
        </w:rPr>
        <w:t xml:space="preserve"> </w:t>
      </w:r>
    </w:p>
    <w:p w:rsidR="0064161A" w:rsidRDefault="00931903" w:rsidP="0064161A">
      <w:pPr>
        <w:pStyle w:val="ListParagraph"/>
        <w:numPr>
          <w:ilvl w:val="0"/>
          <w:numId w:val="2"/>
        </w:numPr>
        <w:spacing w:after="240" w:line="360" w:lineRule="auto"/>
        <w:ind w:left="0" w:firstLine="0"/>
        <w:jc w:val="both"/>
        <w:rPr>
          <w:rFonts w:ascii="Arial" w:hAnsi="Arial" w:cs="Arial"/>
        </w:rPr>
      </w:pPr>
      <w:r w:rsidRPr="00250635">
        <w:rPr>
          <w:rFonts w:ascii="Arial" w:hAnsi="Arial" w:cs="Arial"/>
        </w:rPr>
        <w:t>Scott Bader is not currently qualified to supply Rocbolt</w:t>
      </w:r>
      <w:r w:rsidR="0064161A">
        <w:rPr>
          <w:rFonts w:ascii="Arial" w:hAnsi="Arial" w:cs="Arial"/>
        </w:rPr>
        <w:t xml:space="preserve">. </w:t>
      </w:r>
      <w:r w:rsidR="0064161A" w:rsidRPr="00BF429E">
        <w:rPr>
          <w:rFonts w:ascii="Arial" w:hAnsi="Arial" w:cs="Arial"/>
        </w:rPr>
        <w:t xml:space="preserve">Scott Bader </w:t>
      </w:r>
      <w:r w:rsidR="0064161A">
        <w:rPr>
          <w:rFonts w:ascii="Arial" w:hAnsi="Arial" w:cs="Arial"/>
        </w:rPr>
        <w:t xml:space="preserve">however </w:t>
      </w:r>
      <w:r w:rsidR="0064161A" w:rsidRPr="00BF429E">
        <w:rPr>
          <w:rFonts w:ascii="Arial" w:hAnsi="Arial" w:cs="Arial"/>
        </w:rPr>
        <w:t>in 2013</w:t>
      </w:r>
      <w:r w:rsidR="0064161A">
        <w:rPr>
          <w:rFonts w:ascii="Arial" w:hAnsi="Arial" w:cs="Arial"/>
        </w:rPr>
        <w:t xml:space="preserve"> </w:t>
      </w:r>
      <w:r w:rsidR="0064161A" w:rsidRPr="00BF429E">
        <w:rPr>
          <w:rFonts w:ascii="Arial" w:hAnsi="Arial" w:cs="Arial"/>
        </w:rPr>
        <w:t xml:space="preserve">supplied Rocbolt with a small sample of UPR for preliminary testing. </w:t>
      </w:r>
      <w:r w:rsidR="005E5985">
        <w:rPr>
          <w:rFonts w:ascii="Arial" w:hAnsi="Arial" w:cs="Arial"/>
        </w:rPr>
        <w:t>Thereafter, upon approval of that</w:t>
      </w:r>
      <w:r w:rsidR="0064161A" w:rsidRPr="00BF429E">
        <w:rPr>
          <w:rFonts w:ascii="Arial" w:hAnsi="Arial" w:cs="Arial"/>
        </w:rPr>
        <w:t xml:space="preserve"> small sample, a drum was provided for shelf life testing and that was successfully completed. In April 2014, Rocbolt ordered a </w:t>
      </w:r>
      <w:r w:rsidR="00502CF1">
        <w:rPr>
          <w:rFonts w:ascii="Arial" w:hAnsi="Arial" w:cs="Arial"/>
        </w:rPr>
        <w:t>one-</w:t>
      </w:r>
      <w:r w:rsidR="0064161A" w:rsidRPr="00BF429E">
        <w:rPr>
          <w:rFonts w:ascii="Arial" w:hAnsi="Arial" w:cs="Arial"/>
        </w:rPr>
        <w:t>tonne sample for production testing.</w:t>
      </w:r>
      <w:r w:rsidR="0064161A">
        <w:rPr>
          <w:rStyle w:val="FootnoteReference"/>
          <w:rFonts w:ascii="Arial" w:hAnsi="Arial" w:cs="Arial"/>
        </w:rPr>
        <w:footnoteReference w:id="111"/>
      </w:r>
      <w:r w:rsidR="0064161A" w:rsidRPr="00BF429E">
        <w:rPr>
          <w:rFonts w:ascii="Arial" w:hAnsi="Arial" w:cs="Arial"/>
        </w:rPr>
        <w:t xml:space="preserve"> Scott Bader will </w:t>
      </w:r>
      <w:r w:rsidR="0064161A">
        <w:rPr>
          <w:rFonts w:ascii="Arial" w:hAnsi="Arial" w:cs="Arial"/>
        </w:rPr>
        <w:t xml:space="preserve">next </w:t>
      </w:r>
      <w:r w:rsidR="0064161A" w:rsidRPr="00BF429E">
        <w:rPr>
          <w:rFonts w:ascii="Arial" w:hAnsi="Arial" w:cs="Arial"/>
        </w:rPr>
        <w:t xml:space="preserve">be required to provide a </w:t>
      </w:r>
      <w:r w:rsidR="00FC3BE8">
        <w:rPr>
          <w:rFonts w:ascii="Arial" w:hAnsi="Arial" w:cs="Arial"/>
        </w:rPr>
        <w:t>ten</w:t>
      </w:r>
      <w:r w:rsidR="00825F09">
        <w:rPr>
          <w:rFonts w:ascii="Arial" w:hAnsi="Arial" w:cs="Arial"/>
        </w:rPr>
        <w:t>-tonne</w:t>
      </w:r>
      <w:r w:rsidR="00FC3BE8">
        <w:rPr>
          <w:rFonts w:ascii="Arial" w:hAnsi="Arial" w:cs="Arial"/>
        </w:rPr>
        <w:t xml:space="preserve"> and then a </w:t>
      </w:r>
      <w:r w:rsidR="0064161A" w:rsidRPr="00BF429E">
        <w:rPr>
          <w:rFonts w:ascii="Arial" w:hAnsi="Arial" w:cs="Arial"/>
        </w:rPr>
        <w:t>twenty</w:t>
      </w:r>
      <w:r w:rsidR="00825F09">
        <w:rPr>
          <w:rFonts w:ascii="Arial" w:hAnsi="Arial" w:cs="Arial"/>
        </w:rPr>
        <w:t>-</w:t>
      </w:r>
      <w:r w:rsidR="0064161A" w:rsidRPr="00BF429E">
        <w:rPr>
          <w:rFonts w:ascii="Arial" w:hAnsi="Arial" w:cs="Arial"/>
        </w:rPr>
        <w:t>tonne sample</w:t>
      </w:r>
      <w:r w:rsidR="00FC3BE8">
        <w:rPr>
          <w:rFonts w:ascii="Arial" w:hAnsi="Arial" w:cs="Arial"/>
        </w:rPr>
        <w:t xml:space="preserve">. </w:t>
      </w:r>
      <w:r w:rsidR="00613140">
        <w:rPr>
          <w:rFonts w:ascii="Arial" w:hAnsi="Arial" w:cs="Arial"/>
        </w:rPr>
        <w:t xml:space="preserve">Samples </w:t>
      </w:r>
      <w:r w:rsidR="0064161A" w:rsidRPr="00BF429E">
        <w:rPr>
          <w:rFonts w:ascii="Arial" w:hAnsi="Arial" w:cs="Arial"/>
        </w:rPr>
        <w:t>need to be left</w:t>
      </w:r>
      <w:r w:rsidR="005E5985">
        <w:rPr>
          <w:rFonts w:ascii="Arial" w:hAnsi="Arial" w:cs="Arial"/>
        </w:rPr>
        <w:t xml:space="preserve"> to stand</w:t>
      </w:r>
      <w:r w:rsidR="0064161A" w:rsidRPr="00BF429E">
        <w:rPr>
          <w:rFonts w:ascii="Arial" w:hAnsi="Arial" w:cs="Arial"/>
        </w:rPr>
        <w:t xml:space="preserve"> for six months to </w:t>
      </w:r>
      <w:r w:rsidR="005E5985">
        <w:rPr>
          <w:rFonts w:ascii="Arial" w:hAnsi="Arial" w:cs="Arial"/>
        </w:rPr>
        <w:t>determine</w:t>
      </w:r>
      <w:r w:rsidR="0064161A" w:rsidRPr="00BF429E">
        <w:rPr>
          <w:rFonts w:ascii="Arial" w:hAnsi="Arial" w:cs="Arial"/>
        </w:rPr>
        <w:t xml:space="preserve"> whether </w:t>
      </w:r>
      <w:r w:rsidR="005E5985">
        <w:rPr>
          <w:rFonts w:ascii="Arial" w:hAnsi="Arial" w:cs="Arial"/>
        </w:rPr>
        <w:t>they satisfy the requirements regarding</w:t>
      </w:r>
      <w:r w:rsidR="0064161A" w:rsidRPr="00BF429E">
        <w:rPr>
          <w:rFonts w:ascii="Arial" w:hAnsi="Arial" w:cs="Arial"/>
        </w:rPr>
        <w:t xml:space="preserve"> shelf life.</w:t>
      </w:r>
      <w:r w:rsidR="00FC3BE8">
        <w:rPr>
          <w:rFonts w:ascii="Arial" w:hAnsi="Arial" w:cs="Arial"/>
        </w:rPr>
        <w:t xml:space="preserve"> Hahn explained “</w:t>
      </w:r>
      <w:r w:rsidR="00E80C1E" w:rsidRPr="00E80C1E">
        <w:rPr>
          <w:rFonts w:ascii="Arial" w:hAnsi="Arial" w:cs="Arial"/>
          <w:i/>
        </w:rPr>
        <w:t>we’ve still got to make the samples and sit them for 6 months and wait to see that they make shelf life</w:t>
      </w:r>
      <w:r w:rsidR="00E80C1E">
        <w:rPr>
          <w:rFonts w:ascii="Arial" w:hAnsi="Arial" w:cs="Arial"/>
        </w:rPr>
        <w:t>”.</w:t>
      </w:r>
      <w:r w:rsidR="00E80C1E">
        <w:rPr>
          <w:rStyle w:val="FootnoteReference"/>
          <w:rFonts w:ascii="Arial" w:hAnsi="Arial" w:cs="Arial"/>
        </w:rPr>
        <w:footnoteReference w:id="112"/>
      </w:r>
      <w:r w:rsidR="00E80C1E">
        <w:rPr>
          <w:rFonts w:ascii="Arial" w:hAnsi="Arial" w:cs="Arial"/>
        </w:rPr>
        <w:t xml:space="preserve"> Regarding the current quality of the Scott Bader product he stated “</w:t>
      </w:r>
      <w:r w:rsidR="00E80C1E" w:rsidRPr="007D46AD">
        <w:rPr>
          <w:rFonts w:ascii="Arial" w:hAnsi="Arial" w:cs="Arial"/>
          <w:i/>
        </w:rPr>
        <w:t>we’re worried that its strength is only just piping the line and we’d like it to get a better margin o</w:t>
      </w:r>
      <w:r w:rsidR="007D46AD" w:rsidRPr="007D46AD">
        <w:rPr>
          <w:rFonts w:ascii="Arial" w:hAnsi="Arial" w:cs="Arial"/>
          <w:i/>
        </w:rPr>
        <w:t>f</w:t>
      </w:r>
      <w:r w:rsidR="00E80C1E" w:rsidRPr="007D46AD">
        <w:rPr>
          <w:rFonts w:ascii="Arial" w:hAnsi="Arial" w:cs="Arial"/>
          <w:i/>
        </w:rPr>
        <w:t xml:space="preserve"> sa</w:t>
      </w:r>
      <w:r w:rsidR="007D46AD" w:rsidRPr="007D46AD">
        <w:rPr>
          <w:rFonts w:ascii="Arial" w:hAnsi="Arial" w:cs="Arial"/>
          <w:i/>
        </w:rPr>
        <w:t>f</w:t>
      </w:r>
      <w:r w:rsidR="00E80C1E" w:rsidRPr="007D46AD">
        <w:rPr>
          <w:rFonts w:ascii="Arial" w:hAnsi="Arial" w:cs="Arial"/>
          <w:i/>
        </w:rPr>
        <w:t xml:space="preserve">ety on the strength aspect, but ... </w:t>
      </w:r>
      <w:proofErr w:type="gramStart"/>
      <w:r w:rsidR="00E80C1E" w:rsidRPr="007D46AD">
        <w:rPr>
          <w:rFonts w:ascii="Arial" w:hAnsi="Arial" w:cs="Arial"/>
          <w:i/>
        </w:rPr>
        <w:t>it’s</w:t>
      </w:r>
      <w:proofErr w:type="gramEnd"/>
      <w:r w:rsidR="00E80C1E" w:rsidRPr="007D46AD">
        <w:rPr>
          <w:rFonts w:ascii="Arial" w:hAnsi="Arial" w:cs="Arial"/>
          <w:i/>
        </w:rPr>
        <w:t xml:space="preserve"> close</w:t>
      </w:r>
      <w:r w:rsidR="00E80C1E">
        <w:rPr>
          <w:rFonts w:ascii="Arial" w:hAnsi="Arial" w:cs="Arial"/>
        </w:rPr>
        <w:t>.”</w:t>
      </w:r>
      <w:r w:rsidR="00E80C1E">
        <w:rPr>
          <w:rStyle w:val="FootnoteReference"/>
          <w:rFonts w:ascii="Arial" w:hAnsi="Arial" w:cs="Arial"/>
        </w:rPr>
        <w:footnoteReference w:id="113"/>
      </w:r>
    </w:p>
    <w:p w:rsidR="00931903" w:rsidRPr="0066218D" w:rsidRDefault="00F37A14" w:rsidP="0080582B">
      <w:pPr>
        <w:pStyle w:val="ListParagraph"/>
        <w:numPr>
          <w:ilvl w:val="0"/>
          <w:numId w:val="2"/>
        </w:numPr>
        <w:spacing w:after="240" w:line="360" w:lineRule="auto"/>
        <w:ind w:left="0" w:firstLine="0"/>
        <w:jc w:val="both"/>
        <w:rPr>
          <w:rFonts w:ascii="Arial" w:hAnsi="Arial" w:cs="Arial"/>
        </w:rPr>
      </w:pPr>
      <w:r>
        <w:rPr>
          <w:rFonts w:ascii="Arial" w:hAnsi="Arial" w:cs="Arial"/>
        </w:rPr>
        <w:t xml:space="preserve">With regards to KZN Resins as a potential supplier, </w:t>
      </w:r>
      <w:r w:rsidR="0064161A" w:rsidRPr="0066218D">
        <w:rPr>
          <w:rFonts w:ascii="Arial" w:hAnsi="Arial" w:cs="Arial"/>
        </w:rPr>
        <w:t xml:space="preserve">Rocbolt </w:t>
      </w:r>
      <w:r w:rsidR="001C4E42">
        <w:rPr>
          <w:rFonts w:ascii="Arial" w:hAnsi="Arial" w:cs="Arial"/>
        </w:rPr>
        <w:t xml:space="preserve">indicated that it </w:t>
      </w:r>
      <w:r w:rsidR="0064161A" w:rsidRPr="0066218D">
        <w:rPr>
          <w:rFonts w:ascii="Arial" w:hAnsi="Arial" w:cs="Arial"/>
        </w:rPr>
        <w:t xml:space="preserve">does not </w:t>
      </w:r>
      <w:r w:rsidR="00931903" w:rsidRPr="0066218D">
        <w:rPr>
          <w:rFonts w:ascii="Arial" w:hAnsi="Arial" w:cs="Arial"/>
        </w:rPr>
        <w:t xml:space="preserve">consider </w:t>
      </w:r>
      <w:r w:rsidR="0064161A" w:rsidRPr="0066218D">
        <w:rPr>
          <w:rFonts w:ascii="Arial" w:hAnsi="Arial" w:cs="Arial"/>
        </w:rPr>
        <w:t xml:space="preserve">KZN Resins </w:t>
      </w:r>
      <w:r w:rsidR="00931903" w:rsidRPr="0066218D">
        <w:rPr>
          <w:rFonts w:ascii="Arial" w:hAnsi="Arial" w:cs="Arial"/>
        </w:rPr>
        <w:t>a possible alternative</w:t>
      </w:r>
      <w:r w:rsidR="0064161A" w:rsidRPr="0066218D">
        <w:rPr>
          <w:rFonts w:ascii="Arial" w:hAnsi="Arial" w:cs="Arial"/>
        </w:rPr>
        <w:t xml:space="preserve"> source o</w:t>
      </w:r>
      <w:r w:rsidR="008B25DE" w:rsidRPr="0066218D">
        <w:rPr>
          <w:rFonts w:ascii="Arial" w:hAnsi="Arial" w:cs="Arial"/>
        </w:rPr>
        <w:t>f</w:t>
      </w:r>
      <w:r w:rsidR="0064161A" w:rsidRPr="0066218D">
        <w:rPr>
          <w:rFonts w:ascii="Arial" w:hAnsi="Arial" w:cs="Arial"/>
        </w:rPr>
        <w:t xml:space="preserve"> supply of mining UPR</w:t>
      </w:r>
      <w:r w:rsidR="004D5532" w:rsidRPr="0066218D">
        <w:rPr>
          <w:rFonts w:ascii="Arial" w:hAnsi="Arial" w:cs="Arial"/>
        </w:rPr>
        <w:t xml:space="preserve">, at least </w:t>
      </w:r>
      <w:r w:rsidR="004D5532" w:rsidRPr="0066218D">
        <w:rPr>
          <w:rFonts w:ascii="Arial" w:hAnsi="Arial" w:cs="Arial"/>
        </w:rPr>
        <w:lastRenderedPageBreak/>
        <w:t>over the short-</w:t>
      </w:r>
      <w:r w:rsidR="00D20915" w:rsidRPr="0066218D">
        <w:rPr>
          <w:rFonts w:ascii="Arial" w:hAnsi="Arial" w:cs="Arial"/>
        </w:rPr>
        <w:t xml:space="preserve"> to medium</w:t>
      </w:r>
      <w:r w:rsidR="001C4E42">
        <w:rPr>
          <w:rFonts w:ascii="Arial" w:hAnsi="Arial" w:cs="Arial"/>
        </w:rPr>
        <w:t>-</w:t>
      </w:r>
      <w:r w:rsidR="004D5532" w:rsidRPr="0066218D">
        <w:rPr>
          <w:rFonts w:ascii="Arial" w:hAnsi="Arial" w:cs="Arial"/>
        </w:rPr>
        <w:t>term</w:t>
      </w:r>
      <w:r w:rsidR="0066218D" w:rsidRPr="0066218D">
        <w:rPr>
          <w:rFonts w:ascii="Arial" w:hAnsi="Arial" w:cs="Arial"/>
        </w:rPr>
        <w:t xml:space="preserve">. Hahn said that Rocbolt tested one sample from KZN </w:t>
      </w:r>
      <w:r w:rsidR="001C4E42">
        <w:rPr>
          <w:rFonts w:ascii="Arial" w:hAnsi="Arial" w:cs="Arial"/>
        </w:rPr>
        <w:t xml:space="preserve">but found that </w:t>
      </w:r>
      <w:r w:rsidR="0066218D" w:rsidRPr="0066218D">
        <w:rPr>
          <w:rFonts w:ascii="Arial" w:hAnsi="Arial" w:cs="Arial"/>
        </w:rPr>
        <w:t xml:space="preserve">it was </w:t>
      </w:r>
      <w:r w:rsidR="005E5985">
        <w:rPr>
          <w:rFonts w:ascii="Arial" w:hAnsi="Arial" w:cs="Arial"/>
        </w:rPr>
        <w:t>not near meeting</w:t>
      </w:r>
      <w:r w:rsidR="0066218D" w:rsidRPr="0066218D">
        <w:rPr>
          <w:rFonts w:ascii="Arial" w:hAnsi="Arial" w:cs="Arial"/>
        </w:rPr>
        <w:t xml:space="preserve"> the required specifications.</w:t>
      </w:r>
      <w:r w:rsidR="00931903">
        <w:rPr>
          <w:rStyle w:val="FootnoteReference"/>
          <w:rFonts w:ascii="Arial" w:hAnsi="Arial" w:cs="Arial"/>
        </w:rPr>
        <w:footnoteReference w:id="114"/>
      </w:r>
      <w:r w:rsidR="00931903" w:rsidRPr="0066218D">
        <w:rPr>
          <w:rFonts w:ascii="Arial" w:hAnsi="Arial" w:cs="Arial"/>
        </w:rPr>
        <w:t xml:space="preserve"> </w:t>
      </w:r>
    </w:p>
    <w:p w:rsidR="001D0074" w:rsidRPr="004D5532" w:rsidRDefault="00F37A14" w:rsidP="0080582B">
      <w:pPr>
        <w:pStyle w:val="ListParagraph"/>
        <w:numPr>
          <w:ilvl w:val="0"/>
          <w:numId w:val="2"/>
        </w:numPr>
        <w:spacing w:after="240" w:line="360" w:lineRule="auto"/>
        <w:ind w:left="0" w:firstLine="0"/>
        <w:jc w:val="both"/>
        <w:rPr>
          <w:rFonts w:ascii="Arial" w:hAnsi="Arial" w:cs="Arial"/>
        </w:rPr>
      </w:pPr>
      <w:r>
        <w:rPr>
          <w:rFonts w:ascii="Arial" w:hAnsi="Arial" w:cs="Arial"/>
        </w:rPr>
        <w:t>With regards to imports of mining resin, a</w:t>
      </w:r>
      <w:r w:rsidR="00E448E2" w:rsidRPr="004D5532">
        <w:rPr>
          <w:rFonts w:ascii="Arial" w:hAnsi="Arial" w:cs="Arial"/>
        </w:rPr>
        <w:t xml:space="preserve">lthough Minova is part of an international enterprise with a global procurement function, it </w:t>
      </w:r>
      <w:r w:rsidR="003259F0">
        <w:rPr>
          <w:rFonts w:ascii="Arial" w:hAnsi="Arial" w:cs="Arial"/>
        </w:rPr>
        <w:t xml:space="preserve">is </w:t>
      </w:r>
      <w:r w:rsidR="00E448E2" w:rsidRPr="004D5532">
        <w:rPr>
          <w:rFonts w:ascii="Arial" w:hAnsi="Arial" w:cs="Arial"/>
        </w:rPr>
        <w:t>not currently importing resin.</w:t>
      </w:r>
      <w:r w:rsidR="004D5532" w:rsidRPr="004D5532">
        <w:rPr>
          <w:rFonts w:ascii="Arial" w:hAnsi="Arial" w:cs="Arial"/>
        </w:rPr>
        <w:t xml:space="preserve"> </w:t>
      </w:r>
      <w:r w:rsidR="00FD757E">
        <w:rPr>
          <w:rFonts w:ascii="Arial" w:hAnsi="Arial" w:cs="Arial"/>
        </w:rPr>
        <w:t>[...]</w:t>
      </w:r>
      <w:r w:rsidR="00F13711" w:rsidRPr="004D5532">
        <w:rPr>
          <w:rFonts w:ascii="Arial" w:hAnsi="Arial" w:cs="Arial"/>
        </w:rPr>
        <w:t xml:space="preserve"> </w:t>
      </w:r>
      <w:r w:rsidR="001D0074" w:rsidRPr="004D5532">
        <w:rPr>
          <w:rFonts w:ascii="Arial" w:hAnsi="Arial" w:cs="Arial"/>
        </w:rPr>
        <w:t>Rocbolt ha</w:t>
      </w:r>
      <w:r w:rsidR="00F13711">
        <w:rPr>
          <w:rFonts w:ascii="Arial" w:hAnsi="Arial" w:cs="Arial"/>
        </w:rPr>
        <w:t>ving</w:t>
      </w:r>
      <w:r w:rsidR="001D0074" w:rsidRPr="004D5532">
        <w:rPr>
          <w:rFonts w:ascii="Arial" w:hAnsi="Arial" w:cs="Arial"/>
        </w:rPr>
        <w:t xml:space="preserve"> explored the option of imports</w:t>
      </w:r>
      <w:r w:rsidR="00F13711" w:rsidRPr="00F13711">
        <w:rPr>
          <w:rFonts w:ascii="Arial" w:hAnsi="Arial" w:cs="Arial"/>
        </w:rPr>
        <w:t xml:space="preserve"> </w:t>
      </w:r>
      <w:r w:rsidR="00F13711" w:rsidRPr="004D5532">
        <w:rPr>
          <w:rFonts w:ascii="Arial" w:hAnsi="Arial" w:cs="Arial"/>
        </w:rPr>
        <w:t>for over 18 months</w:t>
      </w:r>
      <w:r w:rsidR="001D0074" w:rsidRPr="004D5532">
        <w:rPr>
          <w:rFonts w:ascii="Arial" w:hAnsi="Arial" w:cs="Arial"/>
        </w:rPr>
        <w:t>, it has</w:t>
      </w:r>
      <w:r w:rsidR="00FD757E">
        <w:rPr>
          <w:rFonts w:ascii="Arial" w:hAnsi="Arial" w:cs="Arial"/>
        </w:rPr>
        <w:t xml:space="preserve"> [...]</w:t>
      </w:r>
      <w:r w:rsidR="001D0074" w:rsidRPr="004D5532">
        <w:rPr>
          <w:rFonts w:ascii="Arial" w:hAnsi="Arial" w:cs="Arial"/>
        </w:rPr>
        <w:t xml:space="preserve">. This is in part because </w:t>
      </w:r>
      <w:r w:rsidR="004D5532" w:rsidRPr="004D5532">
        <w:rPr>
          <w:rFonts w:ascii="Arial" w:hAnsi="Arial" w:cs="Arial"/>
        </w:rPr>
        <w:t xml:space="preserve">it </w:t>
      </w:r>
      <w:r w:rsidR="001C4E42">
        <w:rPr>
          <w:rFonts w:ascii="Arial" w:hAnsi="Arial" w:cs="Arial"/>
        </w:rPr>
        <w:t xml:space="preserve">has been </w:t>
      </w:r>
      <w:r w:rsidR="00FD757E">
        <w:rPr>
          <w:rFonts w:ascii="Arial" w:hAnsi="Arial" w:cs="Arial"/>
        </w:rPr>
        <w:t>[...]</w:t>
      </w:r>
      <w:r w:rsidR="001D0074" w:rsidRPr="004D5532">
        <w:rPr>
          <w:rFonts w:ascii="Arial" w:hAnsi="Arial" w:cs="Arial"/>
        </w:rPr>
        <w:t>.</w:t>
      </w:r>
      <w:r w:rsidR="001D0074" w:rsidRPr="004D5532">
        <w:rPr>
          <w:rStyle w:val="FootnoteReference"/>
          <w:rFonts w:ascii="Arial" w:hAnsi="Arial" w:cs="Arial"/>
        </w:rPr>
        <w:footnoteReference w:id="115"/>
      </w:r>
      <w:r w:rsidR="001D0074" w:rsidRPr="004D5532">
        <w:rPr>
          <w:rFonts w:ascii="Arial" w:hAnsi="Arial" w:cs="Arial"/>
        </w:rPr>
        <w:t xml:space="preserve"> </w:t>
      </w:r>
    </w:p>
    <w:p w:rsidR="00927BF5" w:rsidRPr="006363F1" w:rsidRDefault="00927BF5" w:rsidP="00927BF5">
      <w:pPr>
        <w:pStyle w:val="ListParagraph"/>
        <w:numPr>
          <w:ilvl w:val="0"/>
          <w:numId w:val="2"/>
        </w:numPr>
        <w:spacing w:after="240" w:line="360" w:lineRule="auto"/>
        <w:ind w:left="0" w:firstLine="0"/>
        <w:jc w:val="both"/>
        <w:rPr>
          <w:rFonts w:ascii="Arial" w:hAnsi="Arial" w:cs="Arial"/>
        </w:rPr>
      </w:pPr>
      <w:r w:rsidRPr="006363F1">
        <w:rPr>
          <w:rFonts w:ascii="Arial" w:hAnsi="Arial" w:cs="Arial"/>
        </w:rPr>
        <w:t xml:space="preserve">We have found no </w:t>
      </w:r>
      <w:r w:rsidR="001C4E42">
        <w:rPr>
          <w:rFonts w:ascii="Arial" w:hAnsi="Arial" w:cs="Arial"/>
        </w:rPr>
        <w:t xml:space="preserve">compelling </w:t>
      </w:r>
      <w:r w:rsidRPr="006363F1">
        <w:rPr>
          <w:rFonts w:ascii="Arial" w:hAnsi="Arial" w:cs="Arial"/>
        </w:rPr>
        <w:t xml:space="preserve">evidence that imports are currently a constraint on </w:t>
      </w:r>
      <w:r w:rsidR="004D5532">
        <w:rPr>
          <w:rFonts w:ascii="Arial" w:hAnsi="Arial" w:cs="Arial"/>
        </w:rPr>
        <w:t xml:space="preserve">the </w:t>
      </w:r>
      <w:r w:rsidRPr="006363F1">
        <w:rPr>
          <w:rFonts w:ascii="Arial" w:hAnsi="Arial" w:cs="Arial"/>
        </w:rPr>
        <w:t xml:space="preserve">domestic manufacturers of </w:t>
      </w:r>
      <w:r w:rsidR="004D5532">
        <w:rPr>
          <w:rFonts w:ascii="Arial" w:hAnsi="Arial" w:cs="Arial"/>
        </w:rPr>
        <w:t xml:space="preserve">mining </w:t>
      </w:r>
      <w:r w:rsidRPr="006363F1">
        <w:rPr>
          <w:rFonts w:ascii="Arial" w:hAnsi="Arial" w:cs="Arial"/>
        </w:rPr>
        <w:t xml:space="preserve">UPRs or that </w:t>
      </w:r>
      <w:r w:rsidR="00BF69CD">
        <w:rPr>
          <w:rFonts w:ascii="Arial" w:hAnsi="Arial" w:cs="Arial"/>
        </w:rPr>
        <w:t>they</w:t>
      </w:r>
      <w:r w:rsidR="00BF69CD" w:rsidRPr="006363F1">
        <w:rPr>
          <w:rFonts w:ascii="Arial" w:hAnsi="Arial" w:cs="Arial"/>
        </w:rPr>
        <w:t xml:space="preserve"> </w:t>
      </w:r>
      <w:r w:rsidRPr="006363F1">
        <w:rPr>
          <w:rFonts w:ascii="Arial" w:hAnsi="Arial" w:cs="Arial"/>
        </w:rPr>
        <w:t xml:space="preserve">will effectively constrain the </w:t>
      </w:r>
      <w:r w:rsidR="00825F09">
        <w:rPr>
          <w:rFonts w:ascii="Arial" w:hAnsi="Arial" w:cs="Arial"/>
        </w:rPr>
        <w:t xml:space="preserve">potential </w:t>
      </w:r>
      <w:r w:rsidRPr="006363F1">
        <w:rPr>
          <w:rFonts w:ascii="Arial" w:hAnsi="Arial" w:cs="Arial"/>
        </w:rPr>
        <w:t xml:space="preserve">ability of the merged entity to raise prices by a small but significant amount after the proposed merger. </w:t>
      </w:r>
    </w:p>
    <w:p w:rsidR="00D20915" w:rsidRDefault="00931903" w:rsidP="00D20915">
      <w:pPr>
        <w:pStyle w:val="ListParagraph"/>
        <w:numPr>
          <w:ilvl w:val="0"/>
          <w:numId w:val="2"/>
        </w:numPr>
        <w:spacing w:after="240" w:line="360" w:lineRule="auto"/>
        <w:ind w:left="0" w:firstLine="0"/>
        <w:jc w:val="both"/>
        <w:rPr>
          <w:rFonts w:ascii="Arial" w:hAnsi="Arial" w:cs="Arial"/>
        </w:rPr>
      </w:pPr>
      <w:r>
        <w:rPr>
          <w:rFonts w:ascii="Arial" w:hAnsi="Arial" w:cs="Arial"/>
        </w:rPr>
        <w:t xml:space="preserve">We conclude that the proposed merger </w:t>
      </w:r>
      <w:r w:rsidRPr="00A57F0B">
        <w:rPr>
          <w:rFonts w:ascii="Arial" w:hAnsi="Arial" w:cs="Arial"/>
        </w:rPr>
        <w:t xml:space="preserve">is likely </w:t>
      </w:r>
      <w:r>
        <w:rPr>
          <w:rFonts w:ascii="Arial" w:hAnsi="Arial" w:cs="Arial"/>
        </w:rPr>
        <w:t xml:space="preserve">to </w:t>
      </w:r>
      <w:r w:rsidRPr="00A57F0B">
        <w:rPr>
          <w:rFonts w:ascii="Arial" w:hAnsi="Arial" w:cs="Arial"/>
        </w:rPr>
        <w:t>substantial</w:t>
      </w:r>
      <w:r>
        <w:rPr>
          <w:rFonts w:ascii="Arial" w:hAnsi="Arial" w:cs="Arial"/>
        </w:rPr>
        <w:t>ly</w:t>
      </w:r>
      <w:r w:rsidRPr="00A57F0B">
        <w:rPr>
          <w:rFonts w:ascii="Arial" w:hAnsi="Arial" w:cs="Arial"/>
        </w:rPr>
        <w:t xml:space="preserve"> </w:t>
      </w:r>
      <w:r>
        <w:rPr>
          <w:rFonts w:ascii="Arial" w:hAnsi="Arial" w:cs="Arial"/>
        </w:rPr>
        <w:t xml:space="preserve">prevent or </w:t>
      </w:r>
      <w:r w:rsidRPr="00A57F0B">
        <w:rPr>
          <w:rFonts w:ascii="Arial" w:hAnsi="Arial" w:cs="Arial"/>
        </w:rPr>
        <w:t>lessen competition in the mining UPR market</w:t>
      </w:r>
      <w:r>
        <w:rPr>
          <w:rFonts w:ascii="Arial" w:hAnsi="Arial" w:cs="Arial"/>
        </w:rPr>
        <w:t xml:space="preserve"> since it will remove the ability of the mining customers to negotiate prices and other terms since Arkema was </w:t>
      </w:r>
      <w:r w:rsidR="004D5532">
        <w:rPr>
          <w:rFonts w:ascii="Arial" w:hAnsi="Arial" w:cs="Arial"/>
        </w:rPr>
        <w:t xml:space="preserve">effectively </w:t>
      </w:r>
      <w:r>
        <w:rPr>
          <w:rFonts w:ascii="Arial" w:hAnsi="Arial" w:cs="Arial"/>
        </w:rPr>
        <w:t>used pre-merger for constrain</w:t>
      </w:r>
      <w:r w:rsidR="009335B9">
        <w:rPr>
          <w:rFonts w:ascii="Arial" w:hAnsi="Arial" w:cs="Arial"/>
        </w:rPr>
        <w:t>in</w:t>
      </w:r>
      <w:r>
        <w:rPr>
          <w:rFonts w:ascii="Arial" w:hAnsi="Arial" w:cs="Arial"/>
        </w:rPr>
        <w:t>g NCS.</w:t>
      </w:r>
      <w:r w:rsidR="00D20915" w:rsidRPr="00D20915">
        <w:rPr>
          <w:rFonts w:ascii="Arial" w:hAnsi="Arial" w:cs="Arial"/>
        </w:rPr>
        <w:t xml:space="preserve"> </w:t>
      </w:r>
      <w:r w:rsidR="00D20915" w:rsidRPr="009335B9">
        <w:rPr>
          <w:rFonts w:ascii="Arial" w:hAnsi="Arial" w:cs="Arial"/>
        </w:rPr>
        <w:t>Although Scott Bader is part of a global group which produces UPRs</w:t>
      </w:r>
      <w:r w:rsidR="00D20915">
        <w:rPr>
          <w:rFonts w:ascii="Arial" w:hAnsi="Arial" w:cs="Arial"/>
        </w:rPr>
        <w:t xml:space="preserve"> and</w:t>
      </w:r>
      <w:r w:rsidR="00D20915" w:rsidRPr="009335B9">
        <w:rPr>
          <w:rFonts w:ascii="Arial" w:hAnsi="Arial" w:cs="Arial"/>
        </w:rPr>
        <w:t xml:space="preserve"> is</w:t>
      </w:r>
      <w:r w:rsidR="009F6821">
        <w:rPr>
          <w:rFonts w:ascii="Arial" w:hAnsi="Arial" w:cs="Arial"/>
        </w:rPr>
        <w:t xml:space="preserve"> thus</w:t>
      </w:r>
      <w:r w:rsidR="00D20915" w:rsidRPr="009335B9">
        <w:rPr>
          <w:rFonts w:ascii="Arial" w:hAnsi="Arial" w:cs="Arial"/>
        </w:rPr>
        <w:t xml:space="preserve"> able to </w:t>
      </w:r>
      <w:r w:rsidR="005E5985">
        <w:rPr>
          <w:rFonts w:ascii="Arial" w:hAnsi="Arial" w:cs="Arial"/>
        </w:rPr>
        <w:t>access</w:t>
      </w:r>
      <w:r w:rsidR="00D20915" w:rsidRPr="009335B9">
        <w:rPr>
          <w:rFonts w:ascii="Arial" w:hAnsi="Arial" w:cs="Arial"/>
        </w:rPr>
        <w:t xml:space="preserve"> global technology from its parent company, it has to </w:t>
      </w:r>
      <w:r w:rsidR="001C4E42">
        <w:rPr>
          <w:rFonts w:ascii="Arial" w:hAnsi="Arial" w:cs="Arial"/>
        </w:rPr>
        <w:t>date</w:t>
      </w:r>
      <w:r w:rsidR="00D20915" w:rsidRPr="009335B9">
        <w:rPr>
          <w:rFonts w:ascii="Arial" w:hAnsi="Arial" w:cs="Arial"/>
        </w:rPr>
        <w:t xml:space="preserve"> </w:t>
      </w:r>
      <w:r w:rsidR="001C4E42">
        <w:rPr>
          <w:rFonts w:ascii="Arial" w:hAnsi="Arial" w:cs="Arial"/>
        </w:rPr>
        <w:t xml:space="preserve">not </w:t>
      </w:r>
      <w:r w:rsidR="00D20915" w:rsidRPr="009335B9">
        <w:rPr>
          <w:rFonts w:ascii="Arial" w:hAnsi="Arial" w:cs="Arial"/>
        </w:rPr>
        <w:t>qualif</w:t>
      </w:r>
      <w:r w:rsidR="001C4E42">
        <w:rPr>
          <w:rFonts w:ascii="Arial" w:hAnsi="Arial" w:cs="Arial"/>
        </w:rPr>
        <w:t>ied to</w:t>
      </w:r>
      <w:r w:rsidR="00D20915">
        <w:rPr>
          <w:rFonts w:ascii="Arial" w:hAnsi="Arial" w:cs="Arial"/>
        </w:rPr>
        <w:t xml:space="preserve"> supply</w:t>
      </w:r>
      <w:r w:rsidR="00D20915" w:rsidRPr="009335B9">
        <w:rPr>
          <w:rFonts w:ascii="Arial" w:hAnsi="Arial" w:cs="Arial"/>
        </w:rPr>
        <w:t xml:space="preserve"> </w:t>
      </w:r>
      <w:r w:rsidR="00D20915">
        <w:rPr>
          <w:rFonts w:ascii="Arial" w:hAnsi="Arial" w:cs="Arial"/>
        </w:rPr>
        <w:t xml:space="preserve">Rocbolt or re-qualified </w:t>
      </w:r>
      <w:r w:rsidR="001C4E42">
        <w:rPr>
          <w:rFonts w:ascii="Arial" w:hAnsi="Arial" w:cs="Arial"/>
        </w:rPr>
        <w:t xml:space="preserve">to supply </w:t>
      </w:r>
      <w:r w:rsidR="00D20915">
        <w:rPr>
          <w:rFonts w:ascii="Arial" w:hAnsi="Arial" w:cs="Arial"/>
        </w:rPr>
        <w:t>Minova</w:t>
      </w:r>
      <w:r w:rsidR="00D20915" w:rsidRPr="009335B9">
        <w:rPr>
          <w:rFonts w:ascii="Arial" w:hAnsi="Arial" w:cs="Arial"/>
        </w:rPr>
        <w:t xml:space="preserve">. </w:t>
      </w:r>
      <w:r w:rsidR="001C4E42">
        <w:rPr>
          <w:rFonts w:ascii="Arial" w:hAnsi="Arial" w:cs="Arial"/>
        </w:rPr>
        <w:t xml:space="preserve">We therefore find that </w:t>
      </w:r>
      <w:r w:rsidR="00D20915" w:rsidRPr="00B47BEA">
        <w:rPr>
          <w:rFonts w:ascii="Arial" w:hAnsi="Arial" w:cs="Arial"/>
        </w:rPr>
        <w:t xml:space="preserve">Scott Bader does not represent </w:t>
      </w:r>
      <w:r w:rsidR="009F6821">
        <w:rPr>
          <w:rFonts w:ascii="Arial" w:hAnsi="Arial" w:cs="Arial"/>
        </w:rPr>
        <w:t>a</w:t>
      </w:r>
      <w:r w:rsidR="00D20915" w:rsidRPr="00B47BEA">
        <w:rPr>
          <w:rFonts w:ascii="Arial" w:hAnsi="Arial" w:cs="Arial"/>
        </w:rPr>
        <w:t xml:space="preserve"> competitive threat</w:t>
      </w:r>
      <w:r w:rsidR="009F6821">
        <w:rPr>
          <w:rFonts w:ascii="Arial" w:hAnsi="Arial" w:cs="Arial"/>
        </w:rPr>
        <w:t xml:space="preserve"> of the same magnitude </w:t>
      </w:r>
      <w:r w:rsidR="00D20915" w:rsidRPr="00B47BEA">
        <w:rPr>
          <w:rFonts w:ascii="Arial" w:hAnsi="Arial" w:cs="Arial"/>
        </w:rPr>
        <w:t>as Arkema</w:t>
      </w:r>
      <w:r w:rsidR="00D20915">
        <w:rPr>
          <w:rFonts w:ascii="Arial" w:hAnsi="Arial" w:cs="Arial"/>
        </w:rPr>
        <w:t xml:space="preserve"> SA</w:t>
      </w:r>
      <w:r w:rsidR="00D20915" w:rsidRPr="00B47BEA">
        <w:rPr>
          <w:rFonts w:ascii="Arial" w:hAnsi="Arial" w:cs="Arial"/>
        </w:rPr>
        <w:t xml:space="preserve">, which has </w:t>
      </w:r>
      <w:r w:rsidR="001C4E42">
        <w:rPr>
          <w:rFonts w:ascii="Arial" w:hAnsi="Arial" w:cs="Arial"/>
        </w:rPr>
        <w:t xml:space="preserve">historically </w:t>
      </w:r>
      <w:r w:rsidR="00D20915" w:rsidRPr="00B47BEA">
        <w:rPr>
          <w:rFonts w:ascii="Arial" w:hAnsi="Arial" w:cs="Arial"/>
        </w:rPr>
        <w:t>shown the ability to supply</w:t>
      </w:r>
      <w:r w:rsidR="001C4E42">
        <w:rPr>
          <w:rFonts w:ascii="Arial" w:hAnsi="Arial" w:cs="Arial"/>
        </w:rPr>
        <w:t>,</w:t>
      </w:r>
      <w:r w:rsidR="00D20915" w:rsidRPr="00B47BEA">
        <w:rPr>
          <w:rFonts w:ascii="Arial" w:hAnsi="Arial" w:cs="Arial"/>
        </w:rPr>
        <w:t xml:space="preserve"> is currently qualified</w:t>
      </w:r>
      <w:r w:rsidR="00D20915">
        <w:rPr>
          <w:rFonts w:ascii="Arial" w:hAnsi="Arial" w:cs="Arial"/>
        </w:rPr>
        <w:t xml:space="preserve"> to supply the market</w:t>
      </w:r>
      <w:r w:rsidR="001C4E42">
        <w:rPr>
          <w:rFonts w:ascii="Arial" w:hAnsi="Arial" w:cs="Arial"/>
        </w:rPr>
        <w:t xml:space="preserve"> and has been used as</w:t>
      </w:r>
      <w:r w:rsidR="009F6821">
        <w:rPr>
          <w:rFonts w:ascii="Arial" w:hAnsi="Arial" w:cs="Arial"/>
        </w:rPr>
        <w:t xml:space="preserve"> a</w:t>
      </w:r>
      <w:r w:rsidR="001C4E42">
        <w:rPr>
          <w:rFonts w:ascii="Arial" w:hAnsi="Arial" w:cs="Arial"/>
        </w:rPr>
        <w:t xml:space="preserve"> threat by the mining customers in their negotiation of prices and other terms with NCS</w:t>
      </w:r>
      <w:r w:rsidR="00D20915" w:rsidRPr="00B47BEA">
        <w:rPr>
          <w:rFonts w:ascii="Arial" w:hAnsi="Arial" w:cs="Arial"/>
        </w:rPr>
        <w:t xml:space="preserve">. </w:t>
      </w:r>
    </w:p>
    <w:p w:rsidR="00D20915" w:rsidRPr="00261A60" w:rsidRDefault="00D20915" w:rsidP="00D20915">
      <w:pPr>
        <w:pStyle w:val="ListParagraph"/>
        <w:spacing w:after="240" w:line="360" w:lineRule="auto"/>
        <w:ind w:left="0"/>
        <w:jc w:val="both"/>
        <w:rPr>
          <w:rFonts w:ascii="Arial" w:hAnsi="Arial" w:cs="Arial"/>
          <w:i/>
        </w:rPr>
      </w:pPr>
      <w:r w:rsidRPr="00261A60">
        <w:rPr>
          <w:rFonts w:ascii="Arial" w:hAnsi="Arial" w:cs="Arial"/>
          <w:i/>
        </w:rPr>
        <w:t>Remedies</w:t>
      </w:r>
    </w:p>
    <w:p w:rsidR="00FF34EC" w:rsidRPr="00D20915" w:rsidRDefault="00FF34EC" w:rsidP="00D20915">
      <w:pPr>
        <w:pStyle w:val="ListParagraph"/>
        <w:spacing w:after="240" w:line="360" w:lineRule="auto"/>
        <w:ind w:left="0"/>
        <w:jc w:val="both"/>
        <w:rPr>
          <w:rFonts w:ascii="Arial" w:hAnsi="Arial" w:cs="Arial"/>
          <w:i/>
        </w:rPr>
      </w:pPr>
      <w:r>
        <w:rPr>
          <w:rFonts w:ascii="Arial" w:hAnsi="Arial" w:cs="Arial"/>
          <w:i/>
        </w:rPr>
        <w:t>Pricing remedy</w:t>
      </w:r>
    </w:p>
    <w:p w:rsidR="00896A19" w:rsidRDefault="00931903" w:rsidP="00896A19">
      <w:pPr>
        <w:pStyle w:val="ListParagraph"/>
        <w:numPr>
          <w:ilvl w:val="0"/>
          <w:numId w:val="2"/>
        </w:numPr>
        <w:spacing w:after="240" w:line="360" w:lineRule="auto"/>
        <w:ind w:left="0" w:firstLine="0"/>
        <w:jc w:val="both"/>
        <w:rPr>
          <w:rFonts w:ascii="Arial" w:hAnsi="Arial" w:cs="Arial"/>
        </w:rPr>
      </w:pPr>
      <w:r w:rsidRPr="00C207F8">
        <w:rPr>
          <w:rFonts w:ascii="Arial" w:hAnsi="Arial" w:cs="Arial"/>
        </w:rPr>
        <w:t>As stated above</w:t>
      </w:r>
      <w:r w:rsidR="00C6655F">
        <w:rPr>
          <w:rFonts w:ascii="Arial" w:hAnsi="Arial" w:cs="Arial"/>
        </w:rPr>
        <w:t>,</w:t>
      </w:r>
      <w:r w:rsidRPr="00C207F8">
        <w:rPr>
          <w:rFonts w:ascii="Arial" w:hAnsi="Arial" w:cs="Arial"/>
        </w:rPr>
        <w:t xml:space="preserve"> the merging parties offered a two-year pricing remedy to address the competition concerns raised by Minova</w:t>
      </w:r>
      <w:r w:rsidR="00BD4477">
        <w:rPr>
          <w:rFonts w:ascii="Arial" w:hAnsi="Arial" w:cs="Arial"/>
        </w:rPr>
        <w:t>,</w:t>
      </w:r>
      <w:r w:rsidRPr="00C207F8">
        <w:rPr>
          <w:rFonts w:ascii="Arial" w:hAnsi="Arial" w:cs="Arial"/>
        </w:rPr>
        <w:t xml:space="preserve"> Rocbolt</w:t>
      </w:r>
      <w:r w:rsidR="00BD4477">
        <w:rPr>
          <w:rFonts w:ascii="Arial" w:hAnsi="Arial" w:cs="Arial"/>
        </w:rPr>
        <w:t xml:space="preserve"> and the Commission</w:t>
      </w:r>
      <w:r w:rsidRPr="00C207F8">
        <w:rPr>
          <w:rFonts w:ascii="Arial" w:hAnsi="Arial" w:cs="Arial"/>
        </w:rPr>
        <w:t>. The remedy takes the form of a pricing formula, which caps any potential pric</w:t>
      </w:r>
      <w:r w:rsidR="00C6655F">
        <w:rPr>
          <w:rFonts w:ascii="Arial" w:hAnsi="Arial" w:cs="Arial"/>
        </w:rPr>
        <w:t>e</w:t>
      </w:r>
      <w:r w:rsidRPr="00C207F8">
        <w:rPr>
          <w:rFonts w:ascii="Arial" w:hAnsi="Arial" w:cs="Arial"/>
        </w:rPr>
        <w:t xml:space="preserve"> increase and regulates pricing based on </w:t>
      </w:r>
      <w:r w:rsidRPr="00C207F8">
        <w:rPr>
          <w:rFonts w:ascii="Arial" w:hAnsi="Arial" w:cs="Arial"/>
          <w:i/>
        </w:rPr>
        <w:t>inter alia</w:t>
      </w:r>
      <w:r w:rsidRPr="00C207F8">
        <w:rPr>
          <w:rFonts w:ascii="Arial" w:hAnsi="Arial" w:cs="Arial"/>
        </w:rPr>
        <w:t xml:space="preserve"> raw material pricing considerations </w:t>
      </w:r>
      <w:r w:rsidR="00D20915" w:rsidRPr="00C207F8">
        <w:rPr>
          <w:rFonts w:ascii="Arial" w:hAnsi="Arial" w:cs="Arial"/>
        </w:rPr>
        <w:t>(see paragraph</w:t>
      </w:r>
      <w:r w:rsidR="00B04E84">
        <w:rPr>
          <w:rFonts w:ascii="Arial" w:hAnsi="Arial" w:cs="Arial"/>
        </w:rPr>
        <w:t>s</w:t>
      </w:r>
      <w:r w:rsidR="00D20915" w:rsidRPr="00C207F8">
        <w:rPr>
          <w:rFonts w:ascii="Arial" w:hAnsi="Arial" w:cs="Arial"/>
        </w:rPr>
        <w:t xml:space="preserve"> </w:t>
      </w:r>
      <w:r w:rsidR="00B04E84" w:rsidRPr="008279F7">
        <w:rPr>
          <w:rFonts w:ascii="Arial" w:hAnsi="Arial" w:cs="Arial"/>
        </w:rPr>
        <w:t>2</w:t>
      </w:r>
      <w:r w:rsidR="003A2F45" w:rsidRPr="008279F7">
        <w:rPr>
          <w:rFonts w:ascii="Arial" w:hAnsi="Arial" w:cs="Arial"/>
        </w:rPr>
        <w:t>5</w:t>
      </w:r>
      <w:r w:rsidR="00B04E84" w:rsidRPr="008279F7">
        <w:rPr>
          <w:rFonts w:ascii="Arial" w:hAnsi="Arial" w:cs="Arial"/>
        </w:rPr>
        <w:t xml:space="preserve"> and 2</w:t>
      </w:r>
      <w:r w:rsidR="003A2F45" w:rsidRPr="008279F7">
        <w:rPr>
          <w:rFonts w:ascii="Arial" w:hAnsi="Arial" w:cs="Arial"/>
        </w:rPr>
        <w:t>6</w:t>
      </w:r>
      <w:r w:rsidR="00D20915" w:rsidRPr="00C207F8">
        <w:rPr>
          <w:rFonts w:ascii="Arial" w:hAnsi="Arial" w:cs="Arial"/>
        </w:rPr>
        <w:t xml:space="preserve"> above) </w:t>
      </w:r>
      <w:r w:rsidR="006F6491">
        <w:rPr>
          <w:rFonts w:ascii="Arial" w:hAnsi="Arial" w:cs="Arial"/>
        </w:rPr>
        <w:t>and the cost</w:t>
      </w:r>
      <w:r w:rsidRPr="00C207F8">
        <w:rPr>
          <w:rFonts w:ascii="Arial" w:hAnsi="Arial" w:cs="Arial"/>
        </w:rPr>
        <w:t xml:space="preserve"> of labour. </w:t>
      </w:r>
    </w:p>
    <w:p w:rsidR="00931903" w:rsidRPr="00C207F8" w:rsidRDefault="00D42FF9" w:rsidP="0080582B">
      <w:pPr>
        <w:pStyle w:val="ListParagraph"/>
        <w:numPr>
          <w:ilvl w:val="0"/>
          <w:numId w:val="2"/>
        </w:numPr>
        <w:spacing w:after="240" w:line="360" w:lineRule="auto"/>
        <w:ind w:left="0" w:firstLine="0"/>
        <w:jc w:val="both"/>
        <w:rPr>
          <w:rFonts w:ascii="Arial" w:hAnsi="Arial" w:cs="Arial"/>
        </w:rPr>
      </w:pPr>
      <w:r w:rsidRPr="00C207F8">
        <w:rPr>
          <w:rFonts w:ascii="Arial" w:hAnsi="Arial" w:cs="Arial"/>
        </w:rPr>
        <w:lastRenderedPageBreak/>
        <w:t xml:space="preserve">The essential terms of </w:t>
      </w:r>
      <w:r w:rsidR="00C207F8" w:rsidRPr="00C207F8">
        <w:rPr>
          <w:rFonts w:ascii="Arial" w:hAnsi="Arial" w:cs="Arial"/>
        </w:rPr>
        <w:t xml:space="preserve">the </w:t>
      </w:r>
      <w:r w:rsidR="00896A19">
        <w:rPr>
          <w:rFonts w:ascii="Arial" w:hAnsi="Arial" w:cs="Arial"/>
        </w:rPr>
        <w:t xml:space="preserve">proposed pricing </w:t>
      </w:r>
      <w:r w:rsidRPr="00C207F8">
        <w:rPr>
          <w:rFonts w:ascii="Arial" w:hAnsi="Arial" w:cs="Arial"/>
        </w:rPr>
        <w:t xml:space="preserve">remedy are the following: (i) the remedy will endure for a period of two years from the merger approval date; (ii) the pricing formula amounts to an index-based price cap (but no floor) on the prices that NCS may charge </w:t>
      </w:r>
      <w:r w:rsidR="00B04E84">
        <w:rPr>
          <w:rFonts w:ascii="Arial" w:hAnsi="Arial" w:cs="Arial"/>
        </w:rPr>
        <w:t xml:space="preserve">to </w:t>
      </w:r>
      <w:r w:rsidR="00C207F8">
        <w:rPr>
          <w:rFonts w:ascii="Arial" w:hAnsi="Arial" w:cs="Arial"/>
        </w:rPr>
        <w:t>the mining</w:t>
      </w:r>
      <w:r w:rsidR="00F73A37">
        <w:rPr>
          <w:rFonts w:ascii="Arial" w:hAnsi="Arial" w:cs="Arial"/>
        </w:rPr>
        <w:t xml:space="preserve"> UPR</w:t>
      </w:r>
      <w:r w:rsidRPr="00C207F8">
        <w:rPr>
          <w:rFonts w:ascii="Arial" w:hAnsi="Arial" w:cs="Arial"/>
        </w:rPr>
        <w:t xml:space="preserve"> customers during the two-year period; and (iii) there are no minimum purchase obligations imposed upon the mining </w:t>
      </w:r>
      <w:r w:rsidR="00944C60">
        <w:rPr>
          <w:rFonts w:ascii="Arial" w:hAnsi="Arial" w:cs="Arial"/>
        </w:rPr>
        <w:t xml:space="preserve">UPR </w:t>
      </w:r>
      <w:r w:rsidRPr="00C207F8">
        <w:rPr>
          <w:rFonts w:ascii="Arial" w:hAnsi="Arial" w:cs="Arial"/>
        </w:rPr>
        <w:t>customers.</w:t>
      </w:r>
      <w:r w:rsidR="00931903" w:rsidRPr="00C207F8">
        <w:rPr>
          <w:rFonts w:ascii="Arial" w:hAnsi="Arial" w:cs="Arial"/>
        </w:rPr>
        <w:t xml:space="preserve"> </w:t>
      </w:r>
    </w:p>
    <w:p w:rsidR="00C207F8" w:rsidRPr="004E0241" w:rsidRDefault="00931903" w:rsidP="00C207F8">
      <w:pPr>
        <w:pStyle w:val="ListParagraph"/>
        <w:numPr>
          <w:ilvl w:val="0"/>
          <w:numId w:val="2"/>
        </w:numPr>
        <w:spacing w:after="240" w:line="360" w:lineRule="auto"/>
        <w:ind w:left="0" w:firstLine="0"/>
        <w:jc w:val="both"/>
        <w:rPr>
          <w:rFonts w:ascii="Arial" w:hAnsi="Arial" w:cs="Arial"/>
        </w:rPr>
      </w:pPr>
      <w:r w:rsidRPr="004E0241">
        <w:rPr>
          <w:rFonts w:ascii="Arial" w:hAnsi="Arial" w:cs="Arial"/>
        </w:rPr>
        <w:t xml:space="preserve">This pricing </w:t>
      </w:r>
      <w:r w:rsidR="00044098" w:rsidRPr="004E0241">
        <w:rPr>
          <w:rFonts w:ascii="Arial" w:hAnsi="Arial" w:cs="Arial"/>
        </w:rPr>
        <w:t>formula</w:t>
      </w:r>
      <w:r w:rsidRPr="004E0241">
        <w:rPr>
          <w:rFonts w:ascii="Arial" w:hAnsi="Arial" w:cs="Arial"/>
        </w:rPr>
        <w:t>, after having made certain suggestions as to its formulation</w:t>
      </w:r>
      <w:r w:rsidR="00E96C24" w:rsidRPr="004E0241">
        <w:rPr>
          <w:rFonts w:ascii="Arial" w:hAnsi="Arial" w:cs="Arial"/>
        </w:rPr>
        <w:t>,</w:t>
      </w:r>
      <w:r w:rsidR="00DC393B" w:rsidRPr="004E0241">
        <w:rPr>
          <w:rFonts w:ascii="Arial" w:hAnsi="Arial" w:cs="Arial"/>
        </w:rPr>
        <w:t xml:space="preserve"> specifically regarding the elements that should be included,</w:t>
      </w:r>
      <w:r w:rsidR="001D73F3">
        <w:rPr>
          <w:rStyle w:val="FootnoteReference"/>
          <w:rFonts w:ascii="Arial" w:hAnsi="Arial" w:cs="Arial"/>
        </w:rPr>
        <w:footnoteReference w:id="116"/>
      </w:r>
      <w:r w:rsidR="00E96C24" w:rsidRPr="004E0241">
        <w:rPr>
          <w:rFonts w:ascii="Arial" w:hAnsi="Arial" w:cs="Arial"/>
        </w:rPr>
        <w:t xml:space="preserve"> </w:t>
      </w:r>
      <w:r w:rsidRPr="004E0241">
        <w:rPr>
          <w:rFonts w:ascii="Arial" w:hAnsi="Arial" w:cs="Arial"/>
        </w:rPr>
        <w:t xml:space="preserve">was accepted by both </w:t>
      </w:r>
      <w:r w:rsidR="004E0241" w:rsidRPr="004E0241">
        <w:rPr>
          <w:rFonts w:ascii="Arial" w:hAnsi="Arial" w:cs="Arial"/>
        </w:rPr>
        <w:t xml:space="preserve">mining </w:t>
      </w:r>
      <w:r w:rsidRPr="004E0241">
        <w:rPr>
          <w:rFonts w:ascii="Arial" w:hAnsi="Arial" w:cs="Arial"/>
        </w:rPr>
        <w:t xml:space="preserve">customers. </w:t>
      </w:r>
      <w:r w:rsidR="00C207F8" w:rsidRPr="004E0241">
        <w:rPr>
          <w:rFonts w:ascii="Arial" w:hAnsi="Arial" w:cs="Arial"/>
        </w:rPr>
        <w:t xml:space="preserve">Although Hahn initially (and subsequently Hodge) expressed some concern that the base price in the </w:t>
      </w:r>
      <w:r w:rsidR="00944C60" w:rsidRPr="004E0241">
        <w:rPr>
          <w:rFonts w:ascii="Arial" w:hAnsi="Arial" w:cs="Arial"/>
        </w:rPr>
        <w:t xml:space="preserve">proposed pricing </w:t>
      </w:r>
      <w:r w:rsidR="00C207F8" w:rsidRPr="004E0241">
        <w:rPr>
          <w:rFonts w:ascii="Arial" w:hAnsi="Arial" w:cs="Arial"/>
        </w:rPr>
        <w:t>formula might have already been inflated</w:t>
      </w:r>
      <w:r w:rsidR="00B40022">
        <w:rPr>
          <w:rFonts w:ascii="Arial" w:hAnsi="Arial" w:cs="Arial"/>
        </w:rPr>
        <w:t xml:space="preserve"> in anticipation of the merger</w:t>
      </w:r>
      <w:r w:rsidR="00C207F8" w:rsidRPr="004E0241">
        <w:rPr>
          <w:rFonts w:ascii="Arial" w:hAnsi="Arial" w:cs="Arial"/>
        </w:rPr>
        <w:t xml:space="preserve">, the underlying facts and raw materials costs were put to Hahn to explain the current price </w:t>
      </w:r>
      <w:r w:rsidR="003E4AA1" w:rsidRPr="004E0241">
        <w:rPr>
          <w:rFonts w:ascii="Arial" w:hAnsi="Arial" w:cs="Arial"/>
        </w:rPr>
        <w:t xml:space="preserve">build-up </w:t>
      </w:r>
      <w:r w:rsidR="00C207F8" w:rsidRPr="004E0241">
        <w:rPr>
          <w:rFonts w:ascii="Arial" w:hAnsi="Arial" w:cs="Arial"/>
        </w:rPr>
        <w:t xml:space="preserve">and Hahn stated that he </w:t>
      </w:r>
      <w:r w:rsidR="00B3504C" w:rsidRPr="004E0241">
        <w:rPr>
          <w:rFonts w:ascii="Arial" w:hAnsi="Arial" w:cs="Arial"/>
        </w:rPr>
        <w:t>understood the explanation provided and that it was “</w:t>
      </w:r>
      <w:r w:rsidR="00B3504C" w:rsidRPr="004E0241">
        <w:rPr>
          <w:rFonts w:ascii="Arial" w:hAnsi="Arial" w:cs="Arial"/>
          <w:i/>
        </w:rPr>
        <w:t>a r</w:t>
      </w:r>
      <w:r w:rsidR="00C207F8" w:rsidRPr="004E0241">
        <w:rPr>
          <w:rFonts w:ascii="Arial" w:hAnsi="Arial" w:cs="Arial"/>
          <w:i/>
        </w:rPr>
        <w:t xml:space="preserve">easonable </w:t>
      </w:r>
      <w:r w:rsidR="00B3504C" w:rsidRPr="004E0241">
        <w:rPr>
          <w:rFonts w:ascii="Arial" w:hAnsi="Arial" w:cs="Arial"/>
          <w:i/>
        </w:rPr>
        <w:t>position</w:t>
      </w:r>
      <w:r w:rsidR="00B3504C" w:rsidRPr="004E0241">
        <w:rPr>
          <w:rFonts w:ascii="Arial" w:hAnsi="Arial" w:cs="Arial"/>
        </w:rPr>
        <w:t>”</w:t>
      </w:r>
      <w:r w:rsidR="00C207F8" w:rsidRPr="004E0241">
        <w:rPr>
          <w:rFonts w:ascii="Arial" w:hAnsi="Arial" w:cs="Arial"/>
        </w:rPr>
        <w:t>.</w:t>
      </w:r>
      <w:r w:rsidR="00C207F8">
        <w:rPr>
          <w:rStyle w:val="FootnoteReference"/>
          <w:rFonts w:ascii="Arial" w:hAnsi="Arial" w:cs="Arial"/>
        </w:rPr>
        <w:footnoteReference w:id="117"/>
      </w:r>
    </w:p>
    <w:p w:rsidR="00931903" w:rsidRPr="00C207F8" w:rsidRDefault="00931903" w:rsidP="0080582B">
      <w:pPr>
        <w:pStyle w:val="ListParagraph"/>
        <w:numPr>
          <w:ilvl w:val="0"/>
          <w:numId w:val="2"/>
        </w:numPr>
        <w:spacing w:after="240" w:line="360" w:lineRule="auto"/>
        <w:ind w:left="0" w:firstLine="0"/>
        <w:jc w:val="both"/>
        <w:rPr>
          <w:rFonts w:ascii="Arial" w:hAnsi="Arial" w:cs="Arial"/>
        </w:rPr>
      </w:pPr>
      <w:r w:rsidRPr="00C207F8">
        <w:rPr>
          <w:rFonts w:ascii="Arial" w:hAnsi="Arial" w:cs="Arial"/>
        </w:rPr>
        <w:t xml:space="preserve">Duma of Minova and Hahn of Rocbolt, </w:t>
      </w:r>
      <w:r w:rsidR="00C207F8" w:rsidRPr="00C207F8">
        <w:rPr>
          <w:rFonts w:ascii="Arial" w:hAnsi="Arial" w:cs="Arial"/>
        </w:rPr>
        <w:t xml:space="preserve">currently </w:t>
      </w:r>
      <w:r w:rsidRPr="00C207F8">
        <w:rPr>
          <w:rFonts w:ascii="Arial" w:hAnsi="Arial" w:cs="Arial"/>
        </w:rPr>
        <w:t xml:space="preserve">representing the entire </w:t>
      </w:r>
      <w:r w:rsidR="00C207F8" w:rsidRPr="00C207F8">
        <w:rPr>
          <w:rFonts w:ascii="Arial" w:hAnsi="Arial" w:cs="Arial"/>
        </w:rPr>
        <w:t xml:space="preserve">customer </w:t>
      </w:r>
      <w:r w:rsidRPr="00C207F8">
        <w:rPr>
          <w:rFonts w:ascii="Arial" w:hAnsi="Arial" w:cs="Arial"/>
        </w:rPr>
        <w:t xml:space="preserve">market, </w:t>
      </w:r>
      <w:r w:rsidR="008C013E">
        <w:rPr>
          <w:rFonts w:ascii="Arial" w:hAnsi="Arial" w:cs="Arial"/>
        </w:rPr>
        <w:t xml:space="preserve">also </w:t>
      </w:r>
      <w:r w:rsidRPr="00C207F8">
        <w:rPr>
          <w:rFonts w:ascii="Arial" w:hAnsi="Arial" w:cs="Arial"/>
        </w:rPr>
        <w:t xml:space="preserve">testified that the two-year pricing remedy addressed their </w:t>
      </w:r>
      <w:r w:rsidR="00A31066">
        <w:rPr>
          <w:rFonts w:ascii="Arial" w:hAnsi="Arial" w:cs="Arial"/>
        </w:rPr>
        <w:t xml:space="preserve">initial </w:t>
      </w:r>
      <w:r w:rsidRPr="00C207F8">
        <w:rPr>
          <w:rFonts w:ascii="Arial" w:hAnsi="Arial" w:cs="Arial"/>
        </w:rPr>
        <w:t>concerns</w:t>
      </w:r>
      <w:r w:rsidR="004E0241">
        <w:rPr>
          <w:rFonts w:ascii="Arial" w:hAnsi="Arial" w:cs="Arial"/>
        </w:rPr>
        <w:t xml:space="preserve"> regarding the proposed transaction</w:t>
      </w:r>
      <w:r w:rsidRPr="00C207F8">
        <w:rPr>
          <w:rFonts w:ascii="Arial" w:hAnsi="Arial" w:cs="Arial"/>
        </w:rPr>
        <w:t>, given that they</w:t>
      </w:r>
      <w:r w:rsidR="00F73A37">
        <w:rPr>
          <w:rFonts w:ascii="Arial" w:hAnsi="Arial" w:cs="Arial"/>
        </w:rPr>
        <w:t>,</w:t>
      </w:r>
      <w:r w:rsidRPr="00C207F8">
        <w:rPr>
          <w:rFonts w:ascii="Arial" w:hAnsi="Arial" w:cs="Arial"/>
        </w:rPr>
        <w:t xml:space="preserve"> </w:t>
      </w:r>
      <w:r w:rsidR="002863F0">
        <w:rPr>
          <w:rFonts w:ascii="Arial" w:hAnsi="Arial" w:cs="Arial"/>
        </w:rPr>
        <w:t xml:space="preserve">at a date in </w:t>
      </w:r>
      <w:r w:rsidR="00C207F8" w:rsidRPr="00C207F8">
        <w:rPr>
          <w:rFonts w:ascii="Arial" w:hAnsi="Arial" w:cs="Arial"/>
        </w:rPr>
        <w:t>the future</w:t>
      </w:r>
      <w:r w:rsidR="00F73A37">
        <w:rPr>
          <w:rFonts w:ascii="Arial" w:hAnsi="Arial" w:cs="Arial"/>
        </w:rPr>
        <w:t>,</w:t>
      </w:r>
      <w:r w:rsidR="00C207F8" w:rsidRPr="00C207F8">
        <w:rPr>
          <w:rFonts w:ascii="Arial" w:hAnsi="Arial" w:cs="Arial"/>
        </w:rPr>
        <w:t xml:space="preserve"> </w:t>
      </w:r>
      <w:r w:rsidRPr="00C207F8">
        <w:rPr>
          <w:rFonts w:ascii="Arial" w:hAnsi="Arial" w:cs="Arial"/>
        </w:rPr>
        <w:t>would likely qualify Scott Bader.</w:t>
      </w:r>
      <w:r w:rsidR="001D73F3">
        <w:rPr>
          <w:rStyle w:val="FootnoteReference"/>
          <w:rFonts w:ascii="Arial" w:hAnsi="Arial" w:cs="Arial"/>
        </w:rPr>
        <w:footnoteReference w:id="118"/>
      </w:r>
      <w:r w:rsidRPr="00C207F8">
        <w:rPr>
          <w:rFonts w:ascii="Arial" w:hAnsi="Arial" w:cs="Arial"/>
        </w:rPr>
        <w:t xml:space="preserve"> </w:t>
      </w:r>
      <w:r w:rsidR="00C207F8" w:rsidRPr="00C207F8">
        <w:rPr>
          <w:rFonts w:ascii="Arial" w:hAnsi="Arial" w:cs="Arial"/>
        </w:rPr>
        <w:t xml:space="preserve">Both </w:t>
      </w:r>
      <w:r w:rsidR="00C207F8">
        <w:rPr>
          <w:rFonts w:ascii="Arial" w:hAnsi="Arial" w:cs="Arial"/>
        </w:rPr>
        <w:t>customers were</w:t>
      </w:r>
      <w:r w:rsidR="004E0241">
        <w:rPr>
          <w:rFonts w:ascii="Arial" w:hAnsi="Arial" w:cs="Arial"/>
        </w:rPr>
        <w:t xml:space="preserve"> </w:t>
      </w:r>
      <w:r w:rsidR="00C207F8" w:rsidRPr="00C207F8">
        <w:rPr>
          <w:rFonts w:ascii="Arial" w:hAnsi="Arial" w:cs="Arial"/>
        </w:rPr>
        <w:t xml:space="preserve">confident that Scott Bader </w:t>
      </w:r>
      <w:r w:rsidR="00F73A37">
        <w:rPr>
          <w:rFonts w:ascii="Arial" w:hAnsi="Arial" w:cs="Arial"/>
        </w:rPr>
        <w:t>would</w:t>
      </w:r>
      <w:r w:rsidR="00C207F8" w:rsidRPr="00C207F8">
        <w:rPr>
          <w:rFonts w:ascii="Arial" w:hAnsi="Arial" w:cs="Arial"/>
        </w:rPr>
        <w:t xml:space="preserve"> be qualified within the duration of the pricing remedy, i.e. within the </w:t>
      </w:r>
      <w:r w:rsidR="00C207F8">
        <w:rPr>
          <w:rFonts w:ascii="Arial" w:hAnsi="Arial" w:cs="Arial"/>
        </w:rPr>
        <w:t>two</w:t>
      </w:r>
      <w:r w:rsidR="004E0241">
        <w:rPr>
          <w:rFonts w:ascii="Arial" w:hAnsi="Arial" w:cs="Arial"/>
        </w:rPr>
        <w:t>-</w:t>
      </w:r>
      <w:r w:rsidR="00C207F8" w:rsidRPr="00C207F8">
        <w:rPr>
          <w:rFonts w:ascii="Arial" w:hAnsi="Arial" w:cs="Arial"/>
        </w:rPr>
        <w:t>year period.</w:t>
      </w:r>
      <w:r w:rsidR="00C207F8">
        <w:rPr>
          <w:rStyle w:val="FootnoteReference"/>
          <w:rFonts w:ascii="Arial" w:hAnsi="Arial" w:cs="Arial"/>
        </w:rPr>
        <w:footnoteReference w:id="119"/>
      </w:r>
      <w:r w:rsidR="00C207F8" w:rsidRPr="00C207F8">
        <w:rPr>
          <w:rFonts w:ascii="Arial" w:hAnsi="Arial" w:cs="Arial"/>
        </w:rPr>
        <w:t xml:space="preserve"> This was further confirmed by Yunus of Scott Bader</w:t>
      </w:r>
      <w:r w:rsidR="004E0241">
        <w:rPr>
          <w:rFonts w:ascii="Arial" w:hAnsi="Arial" w:cs="Arial"/>
        </w:rPr>
        <w:t>.</w:t>
      </w:r>
      <w:r w:rsidR="00C207F8">
        <w:rPr>
          <w:rStyle w:val="FootnoteReference"/>
          <w:rFonts w:ascii="Arial" w:hAnsi="Arial" w:cs="Arial"/>
        </w:rPr>
        <w:footnoteReference w:id="120"/>
      </w:r>
      <w:r w:rsidR="00C207F8" w:rsidRPr="00C207F8">
        <w:rPr>
          <w:rFonts w:ascii="Arial" w:hAnsi="Arial" w:cs="Arial"/>
        </w:rPr>
        <w:t xml:space="preserve"> </w:t>
      </w:r>
      <w:r w:rsidRPr="00C207F8">
        <w:rPr>
          <w:rFonts w:ascii="Arial" w:hAnsi="Arial" w:cs="Arial"/>
        </w:rPr>
        <w:t>Hodge accepted that these customers are able to act in their own best interests.</w:t>
      </w:r>
      <w:r>
        <w:rPr>
          <w:rStyle w:val="FootnoteReference"/>
          <w:rFonts w:ascii="Arial" w:hAnsi="Arial" w:cs="Arial"/>
        </w:rPr>
        <w:footnoteReference w:id="121"/>
      </w:r>
      <w:r w:rsidRPr="00C207F8">
        <w:rPr>
          <w:rFonts w:ascii="Arial" w:hAnsi="Arial" w:cs="Arial"/>
        </w:rPr>
        <w:t xml:space="preserve"> </w:t>
      </w:r>
    </w:p>
    <w:p w:rsidR="00C207F8" w:rsidRPr="00896A19" w:rsidRDefault="00045BDA" w:rsidP="00C207F8">
      <w:pPr>
        <w:pStyle w:val="ListParagraph"/>
        <w:numPr>
          <w:ilvl w:val="0"/>
          <w:numId w:val="2"/>
        </w:numPr>
        <w:spacing w:after="240" w:line="360" w:lineRule="auto"/>
        <w:ind w:left="0" w:firstLine="0"/>
        <w:jc w:val="both"/>
        <w:rPr>
          <w:rFonts w:ascii="Arial" w:hAnsi="Arial" w:cs="Arial"/>
        </w:rPr>
      </w:pPr>
      <w:r w:rsidRPr="00896A19">
        <w:rPr>
          <w:rFonts w:ascii="Arial" w:hAnsi="Arial" w:cs="Arial"/>
        </w:rPr>
        <w:t xml:space="preserve">With regards to pricing, Duma was confident that Scott Bader </w:t>
      </w:r>
      <w:r w:rsidR="005A1FC9">
        <w:rPr>
          <w:rFonts w:ascii="Arial" w:hAnsi="Arial" w:cs="Arial"/>
        </w:rPr>
        <w:t>should</w:t>
      </w:r>
      <w:r w:rsidRPr="00896A19">
        <w:rPr>
          <w:rFonts w:ascii="Arial" w:hAnsi="Arial" w:cs="Arial"/>
        </w:rPr>
        <w:t xml:space="preserve"> be able to supply mining UPR at </w:t>
      </w:r>
      <w:r w:rsidR="004E0241">
        <w:rPr>
          <w:rFonts w:ascii="Arial" w:hAnsi="Arial" w:cs="Arial"/>
        </w:rPr>
        <w:t>a competitive price</w:t>
      </w:r>
      <w:r w:rsidRPr="00896A19">
        <w:rPr>
          <w:rFonts w:ascii="Arial" w:hAnsi="Arial" w:cs="Arial"/>
        </w:rPr>
        <w:t>.</w:t>
      </w:r>
      <w:r>
        <w:rPr>
          <w:rStyle w:val="FootnoteReference"/>
          <w:rFonts w:ascii="Arial" w:hAnsi="Arial" w:cs="Arial"/>
        </w:rPr>
        <w:footnoteReference w:id="122"/>
      </w:r>
      <w:r w:rsidRPr="00896A19">
        <w:rPr>
          <w:rFonts w:ascii="Arial" w:hAnsi="Arial" w:cs="Arial"/>
        </w:rPr>
        <w:t> </w:t>
      </w:r>
      <w:r w:rsidR="00896A19" w:rsidRPr="00896A19">
        <w:rPr>
          <w:rFonts w:ascii="Arial" w:hAnsi="Arial" w:cs="Arial"/>
        </w:rPr>
        <w:t>He indicated that the product which he had received from Scott Bader w</w:t>
      </w:r>
      <w:r w:rsidR="00B87B61">
        <w:rPr>
          <w:rFonts w:ascii="Arial" w:hAnsi="Arial" w:cs="Arial"/>
        </w:rPr>
        <w:t>as</w:t>
      </w:r>
      <w:r w:rsidR="00896A19" w:rsidRPr="00896A19">
        <w:rPr>
          <w:rFonts w:ascii="Arial" w:hAnsi="Arial" w:cs="Arial"/>
        </w:rPr>
        <w:t xml:space="preserve"> priced “</w:t>
      </w:r>
      <w:r w:rsidR="000E0EF1">
        <w:rPr>
          <w:rFonts w:ascii="Arial" w:hAnsi="Arial" w:cs="Arial"/>
        </w:rPr>
        <w:t>[...]</w:t>
      </w:r>
      <w:r w:rsidR="00896A19" w:rsidRPr="00896A19">
        <w:rPr>
          <w:rFonts w:ascii="Arial" w:hAnsi="Arial" w:cs="Arial"/>
        </w:rPr>
        <w:t xml:space="preserve">” than </w:t>
      </w:r>
      <w:r w:rsidR="00FE3438">
        <w:rPr>
          <w:rFonts w:ascii="Arial" w:hAnsi="Arial" w:cs="Arial"/>
        </w:rPr>
        <w:t>that</w:t>
      </w:r>
      <w:r w:rsidR="00FE3438" w:rsidRPr="00896A19">
        <w:rPr>
          <w:rFonts w:ascii="Arial" w:hAnsi="Arial" w:cs="Arial"/>
        </w:rPr>
        <w:t xml:space="preserve"> </w:t>
      </w:r>
      <w:r w:rsidR="00896A19" w:rsidRPr="00896A19">
        <w:rPr>
          <w:rFonts w:ascii="Arial" w:hAnsi="Arial" w:cs="Arial"/>
        </w:rPr>
        <w:t xml:space="preserve">he had received from </w:t>
      </w:r>
      <w:r w:rsidR="00FE3438">
        <w:rPr>
          <w:rFonts w:ascii="Arial" w:hAnsi="Arial" w:cs="Arial"/>
        </w:rPr>
        <w:t>both</w:t>
      </w:r>
      <w:r w:rsidR="00FE3438" w:rsidRPr="00896A19">
        <w:rPr>
          <w:rFonts w:ascii="Arial" w:hAnsi="Arial" w:cs="Arial"/>
        </w:rPr>
        <w:t xml:space="preserve"> </w:t>
      </w:r>
      <w:r w:rsidR="00896A19" w:rsidRPr="00896A19">
        <w:rPr>
          <w:rFonts w:ascii="Arial" w:hAnsi="Arial" w:cs="Arial"/>
        </w:rPr>
        <w:t xml:space="preserve">Arkema </w:t>
      </w:r>
      <w:r w:rsidR="00FE3438">
        <w:rPr>
          <w:rFonts w:ascii="Arial" w:hAnsi="Arial" w:cs="Arial"/>
        </w:rPr>
        <w:t>and</w:t>
      </w:r>
      <w:r w:rsidR="00FE3438" w:rsidRPr="00896A19">
        <w:rPr>
          <w:rFonts w:ascii="Arial" w:hAnsi="Arial" w:cs="Arial"/>
        </w:rPr>
        <w:t xml:space="preserve"> </w:t>
      </w:r>
      <w:r w:rsidR="00896A19" w:rsidRPr="00896A19">
        <w:rPr>
          <w:rFonts w:ascii="Arial" w:hAnsi="Arial" w:cs="Arial"/>
        </w:rPr>
        <w:t>NCS.</w:t>
      </w:r>
      <w:r w:rsidR="00896A19">
        <w:rPr>
          <w:rStyle w:val="FootnoteReference"/>
          <w:rFonts w:ascii="Arial" w:hAnsi="Arial" w:cs="Arial"/>
        </w:rPr>
        <w:footnoteReference w:id="123"/>
      </w:r>
      <w:r w:rsidR="00896A19" w:rsidRPr="00896A19">
        <w:rPr>
          <w:rFonts w:ascii="Arial" w:hAnsi="Arial" w:cs="Arial"/>
        </w:rPr>
        <w:t xml:space="preserve"> </w:t>
      </w:r>
      <w:r w:rsidR="00C207F8" w:rsidRPr="00896A19">
        <w:rPr>
          <w:rFonts w:ascii="Arial" w:hAnsi="Arial" w:cs="Arial"/>
        </w:rPr>
        <w:t xml:space="preserve">Hahn indicated that he had not yet tried to </w:t>
      </w:r>
      <w:r w:rsidR="000E0EF1">
        <w:rPr>
          <w:rFonts w:ascii="Arial" w:hAnsi="Arial" w:cs="Arial"/>
        </w:rPr>
        <w:t xml:space="preserve">[...] </w:t>
      </w:r>
      <w:r w:rsidR="004E0241">
        <w:rPr>
          <w:rFonts w:ascii="Arial" w:hAnsi="Arial" w:cs="Arial"/>
        </w:rPr>
        <w:t>price(s)</w:t>
      </w:r>
      <w:r w:rsidR="00C207F8" w:rsidRPr="00896A19">
        <w:rPr>
          <w:rFonts w:ascii="Arial" w:hAnsi="Arial" w:cs="Arial"/>
        </w:rPr>
        <w:t xml:space="preserve">. He </w:t>
      </w:r>
      <w:r w:rsidR="004B705F">
        <w:rPr>
          <w:rFonts w:ascii="Arial" w:hAnsi="Arial" w:cs="Arial"/>
        </w:rPr>
        <w:t xml:space="preserve">further </w:t>
      </w:r>
      <w:r w:rsidR="00C207F8" w:rsidRPr="00896A19">
        <w:rPr>
          <w:rFonts w:ascii="Arial" w:hAnsi="Arial" w:cs="Arial"/>
        </w:rPr>
        <w:t>indicated that the</w:t>
      </w:r>
      <w:r w:rsidR="004E0241" w:rsidRPr="004E0241">
        <w:rPr>
          <w:rFonts w:ascii="Arial" w:hAnsi="Arial" w:cs="Arial"/>
        </w:rPr>
        <w:t xml:space="preserve"> </w:t>
      </w:r>
      <w:r w:rsidR="004E0241" w:rsidRPr="00896A19">
        <w:rPr>
          <w:rFonts w:ascii="Arial" w:hAnsi="Arial" w:cs="Arial"/>
        </w:rPr>
        <w:t>Scott Bader</w:t>
      </w:r>
      <w:r w:rsidR="00F54880">
        <w:rPr>
          <w:rFonts w:ascii="Arial" w:hAnsi="Arial" w:cs="Arial"/>
        </w:rPr>
        <w:t xml:space="preserve"> </w:t>
      </w:r>
      <w:r w:rsidR="00C207F8" w:rsidRPr="00896A19">
        <w:rPr>
          <w:rFonts w:ascii="Arial" w:hAnsi="Arial" w:cs="Arial"/>
        </w:rPr>
        <w:t>price</w:t>
      </w:r>
      <w:r w:rsidR="004E0241">
        <w:rPr>
          <w:rFonts w:ascii="Arial" w:hAnsi="Arial" w:cs="Arial"/>
        </w:rPr>
        <w:t>(</w:t>
      </w:r>
      <w:r w:rsidR="00C207F8" w:rsidRPr="00896A19">
        <w:rPr>
          <w:rFonts w:ascii="Arial" w:hAnsi="Arial" w:cs="Arial"/>
        </w:rPr>
        <w:t>s</w:t>
      </w:r>
      <w:r w:rsidR="004E0241">
        <w:rPr>
          <w:rFonts w:ascii="Arial" w:hAnsi="Arial" w:cs="Arial"/>
        </w:rPr>
        <w:t>)</w:t>
      </w:r>
      <w:r w:rsidR="00C207F8" w:rsidRPr="00896A19">
        <w:rPr>
          <w:rFonts w:ascii="Arial" w:hAnsi="Arial" w:cs="Arial"/>
        </w:rPr>
        <w:t xml:space="preserve"> did not </w:t>
      </w:r>
      <w:r w:rsidR="000E0EF1">
        <w:rPr>
          <w:rFonts w:ascii="Arial" w:hAnsi="Arial" w:cs="Arial"/>
        </w:rPr>
        <w:t>[...]</w:t>
      </w:r>
      <w:r w:rsidR="00C207F8" w:rsidRPr="00896A19">
        <w:rPr>
          <w:rFonts w:ascii="Arial" w:hAnsi="Arial" w:cs="Arial"/>
        </w:rPr>
        <w:t>.</w:t>
      </w:r>
      <w:r w:rsidR="00C207F8">
        <w:rPr>
          <w:rStyle w:val="FootnoteReference"/>
          <w:rFonts w:ascii="Arial" w:hAnsi="Arial" w:cs="Arial"/>
        </w:rPr>
        <w:footnoteReference w:id="124"/>
      </w:r>
      <w:r w:rsidR="00C207F8" w:rsidRPr="00896A19">
        <w:rPr>
          <w:rFonts w:ascii="Arial" w:hAnsi="Arial" w:cs="Arial"/>
        </w:rPr>
        <w:t xml:space="preserve">  </w:t>
      </w:r>
    </w:p>
    <w:p w:rsidR="00793D34" w:rsidRDefault="00896A19" w:rsidP="0080582B">
      <w:pPr>
        <w:pStyle w:val="ListParagraph"/>
        <w:numPr>
          <w:ilvl w:val="0"/>
          <w:numId w:val="2"/>
        </w:numPr>
        <w:spacing w:after="240" w:line="360" w:lineRule="auto"/>
        <w:ind w:left="0" w:firstLine="0"/>
        <w:jc w:val="both"/>
        <w:rPr>
          <w:rFonts w:ascii="Arial" w:hAnsi="Arial" w:cs="Arial"/>
        </w:rPr>
      </w:pPr>
      <w:r>
        <w:rPr>
          <w:rFonts w:ascii="Arial" w:hAnsi="Arial" w:cs="Arial"/>
        </w:rPr>
        <w:lastRenderedPageBreak/>
        <w:t xml:space="preserve">We have further considered the fact that </w:t>
      </w:r>
      <w:r w:rsidR="00931903" w:rsidRPr="00B134BF">
        <w:rPr>
          <w:rFonts w:ascii="Arial" w:hAnsi="Arial" w:cs="Arial"/>
        </w:rPr>
        <w:t xml:space="preserve">Scott Bader’s </w:t>
      </w:r>
      <w:r w:rsidR="00B134BF">
        <w:rPr>
          <w:rFonts w:ascii="Arial" w:hAnsi="Arial" w:cs="Arial"/>
        </w:rPr>
        <w:t xml:space="preserve">UPR </w:t>
      </w:r>
      <w:r w:rsidR="00931903" w:rsidRPr="00B134BF">
        <w:rPr>
          <w:rFonts w:ascii="Arial" w:hAnsi="Arial" w:cs="Arial"/>
        </w:rPr>
        <w:t>production facility in South Africa has significant surplus capacity of approximately [...</w:t>
      </w:r>
      <w:proofErr w:type="gramStart"/>
      <w:r w:rsidR="00931903" w:rsidRPr="00B134BF">
        <w:rPr>
          <w:rFonts w:ascii="Arial" w:hAnsi="Arial" w:cs="Arial"/>
        </w:rPr>
        <w:t>]%</w:t>
      </w:r>
      <w:proofErr w:type="gramEnd"/>
      <w:r w:rsidR="00B134BF">
        <w:rPr>
          <w:rStyle w:val="FootnoteReference"/>
          <w:rFonts w:ascii="Arial" w:hAnsi="Arial" w:cs="Arial"/>
        </w:rPr>
        <w:footnoteReference w:id="125"/>
      </w:r>
      <w:r w:rsidR="00931903" w:rsidRPr="00B134BF">
        <w:rPr>
          <w:rFonts w:ascii="Arial" w:hAnsi="Arial" w:cs="Arial"/>
        </w:rPr>
        <w:t xml:space="preserve"> and the evidence furthermore demonstrated that Scott Bader’s international operations, particularly its Dubai plant, also have significant excess capacity.</w:t>
      </w:r>
      <w:r w:rsidR="00931903">
        <w:rPr>
          <w:rStyle w:val="FootnoteReference"/>
          <w:rFonts w:ascii="Arial" w:hAnsi="Arial" w:cs="Arial"/>
        </w:rPr>
        <w:footnoteReference w:id="126"/>
      </w:r>
      <w:r w:rsidR="00931903" w:rsidRPr="00B134BF">
        <w:rPr>
          <w:rFonts w:ascii="Arial" w:hAnsi="Arial" w:cs="Arial"/>
        </w:rPr>
        <w:t xml:space="preserve"> </w:t>
      </w:r>
      <w:r w:rsidR="009335B9" w:rsidRPr="00B134BF">
        <w:rPr>
          <w:rFonts w:ascii="Arial" w:hAnsi="Arial" w:cs="Arial"/>
        </w:rPr>
        <w:t>Scott Bader</w:t>
      </w:r>
      <w:r>
        <w:rPr>
          <w:rFonts w:ascii="Arial" w:hAnsi="Arial" w:cs="Arial"/>
        </w:rPr>
        <w:t xml:space="preserve"> also</w:t>
      </w:r>
      <w:r w:rsidR="00B134BF">
        <w:rPr>
          <w:rFonts w:ascii="Arial" w:hAnsi="Arial" w:cs="Arial"/>
        </w:rPr>
        <w:t xml:space="preserve"> confirmed that it is</w:t>
      </w:r>
      <w:r w:rsidR="009335B9" w:rsidRPr="00B134BF">
        <w:rPr>
          <w:rFonts w:ascii="Arial" w:hAnsi="Arial" w:cs="Arial"/>
        </w:rPr>
        <w:t xml:space="preserve"> able to import UPRs </w:t>
      </w:r>
      <w:r w:rsidR="007A121E">
        <w:rPr>
          <w:rFonts w:ascii="Arial" w:hAnsi="Arial" w:cs="Arial"/>
        </w:rPr>
        <w:t>[...]</w:t>
      </w:r>
      <w:r w:rsidR="00B134BF">
        <w:rPr>
          <w:rFonts w:ascii="Arial" w:hAnsi="Arial" w:cs="Arial"/>
        </w:rPr>
        <w:t>.</w:t>
      </w:r>
      <w:r w:rsidR="00B134BF">
        <w:rPr>
          <w:rStyle w:val="FootnoteReference"/>
          <w:rFonts w:ascii="Arial" w:hAnsi="Arial" w:cs="Arial"/>
        </w:rPr>
        <w:footnoteReference w:id="127"/>
      </w:r>
      <w:r w:rsidR="009335B9" w:rsidRPr="00B134BF">
        <w:rPr>
          <w:rFonts w:ascii="Arial" w:hAnsi="Arial" w:cs="Arial"/>
        </w:rPr>
        <w:t xml:space="preserve"> </w:t>
      </w:r>
    </w:p>
    <w:p w:rsidR="00C207F8" w:rsidRPr="006C6999" w:rsidRDefault="00DD25C8" w:rsidP="00C207F8">
      <w:pPr>
        <w:pStyle w:val="ListParagraph"/>
        <w:numPr>
          <w:ilvl w:val="0"/>
          <w:numId w:val="2"/>
        </w:numPr>
        <w:spacing w:after="240" w:line="360" w:lineRule="auto"/>
        <w:ind w:left="0" w:firstLine="0"/>
        <w:jc w:val="both"/>
        <w:rPr>
          <w:rFonts w:ascii="Arial" w:hAnsi="Arial" w:cs="Arial"/>
        </w:rPr>
      </w:pPr>
      <w:r w:rsidRPr="006C6999">
        <w:rPr>
          <w:rFonts w:ascii="Arial" w:hAnsi="Arial" w:cs="Arial"/>
        </w:rPr>
        <w:t xml:space="preserve">We have imposed the </w:t>
      </w:r>
      <w:r w:rsidR="006F42AF">
        <w:rPr>
          <w:rFonts w:ascii="Arial" w:hAnsi="Arial" w:cs="Arial"/>
        </w:rPr>
        <w:t xml:space="preserve">merging parties’ tendered </w:t>
      </w:r>
      <w:r w:rsidRPr="006C6999">
        <w:rPr>
          <w:rFonts w:ascii="Arial" w:hAnsi="Arial" w:cs="Arial"/>
        </w:rPr>
        <w:t>pricing remedy</w:t>
      </w:r>
      <w:r w:rsidR="006F42AF">
        <w:rPr>
          <w:rFonts w:ascii="Arial" w:hAnsi="Arial" w:cs="Arial"/>
        </w:rPr>
        <w:t>,</w:t>
      </w:r>
      <w:r w:rsidRPr="006C6999">
        <w:rPr>
          <w:rFonts w:ascii="Arial" w:hAnsi="Arial" w:cs="Arial"/>
        </w:rPr>
        <w:t xml:space="preserve"> </w:t>
      </w:r>
      <w:r w:rsidR="006F42AF">
        <w:rPr>
          <w:rFonts w:ascii="Arial" w:hAnsi="Arial" w:cs="Arial"/>
        </w:rPr>
        <w:t>as accepted</w:t>
      </w:r>
      <w:r w:rsidR="006F42AF" w:rsidRPr="006C6999">
        <w:rPr>
          <w:rFonts w:ascii="Arial" w:hAnsi="Arial" w:cs="Arial"/>
        </w:rPr>
        <w:t xml:space="preserve"> by Rocbolt and Minova</w:t>
      </w:r>
      <w:r w:rsidR="006F42AF">
        <w:rPr>
          <w:rFonts w:ascii="Arial" w:hAnsi="Arial" w:cs="Arial"/>
        </w:rPr>
        <w:t>, as a condition to the approval of the proposed transaction</w:t>
      </w:r>
      <w:r w:rsidR="006C6999" w:rsidRPr="006C6999">
        <w:rPr>
          <w:rFonts w:ascii="Arial" w:hAnsi="Arial" w:cs="Arial"/>
        </w:rPr>
        <w:t xml:space="preserve">. The </w:t>
      </w:r>
      <w:r w:rsidR="004B705F">
        <w:rPr>
          <w:rFonts w:ascii="Arial" w:hAnsi="Arial" w:cs="Arial"/>
        </w:rPr>
        <w:t xml:space="preserve">imposed </w:t>
      </w:r>
      <w:r w:rsidR="006C6999" w:rsidRPr="006C6999">
        <w:rPr>
          <w:rFonts w:ascii="Arial" w:hAnsi="Arial" w:cs="Arial"/>
        </w:rPr>
        <w:t xml:space="preserve">pricing </w:t>
      </w:r>
      <w:r w:rsidR="006F42AF">
        <w:rPr>
          <w:rFonts w:ascii="Arial" w:hAnsi="Arial" w:cs="Arial"/>
        </w:rPr>
        <w:t>condition</w:t>
      </w:r>
      <w:r w:rsidR="006C6999" w:rsidRPr="006C6999">
        <w:rPr>
          <w:rFonts w:ascii="Arial" w:hAnsi="Arial" w:cs="Arial"/>
        </w:rPr>
        <w:t xml:space="preserve">, which </w:t>
      </w:r>
      <w:r w:rsidR="006F42AF">
        <w:rPr>
          <w:rFonts w:ascii="Arial" w:hAnsi="Arial" w:cs="Arial"/>
        </w:rPr>
        <w:t>provides a formula for the calculation of</w:t>
      </w:r>
      <w:r w:rsidR="006C6999" w:rsidRPr="006C6999">
        <w:rPr>
          <w:rFonts w:ascii="Arial" w:hAnsi="Arial" w:cs="Arial"/>
        </w:rPr>
        <w:t xml:space="preserve"> </w:t>
      </w:r>
      <w:r w:rsidRPr="006C6999">
        <w:rPr>
          <w:rFonts w:ascii="Arial" w:hAnsi="Arial" w:cs="Arial"/>
        </w:rPr>
        <w:t>a maximum price that may be discounted</w:t>
      </w:r>
      <w:r w:rsidR="006C6999" w:rsidRPr="006C6999">
        <w:rPr>
          <w:rFonts w:ascii="Arial" w:hAnsi="Arial" w:cs="Arial"/>
        </w:rPr>
        <w:t xml:space="preserve">, will apply for a period of two years from the approval date of the proposed merger in respect of Rocbolt, Minova and any new mining resin customer who </w:t>
      </w:r>
      <w:r w:rsidR="00B40022">
        <w:rPr>
          <w:rFonts w:ascii="Arial" w:hAnsi="Arial" w:cs="Arial"/>
        </w:rPr>
        <w:t xml:space="preserve">may </w:t>
      </w:r>
      <w:r w:rsidR="006C6999" w:rsidRPr="006C6999">
        <w:rPr>
          <w:rFonts w:ascii="Arial" w:hAnsi="Arial" w:cs="Arial"/>
        </w:rPr>
        <w:t xml:space="preserve">enter the mine resins capsule market within the two year period. The pricing formula </w:t>
      </w:r>
      <w:r w:rsidR="006F42AF">
        <w:rPr>
          <w:rFonts w:ascii="Arial" w:hAnsi="Arial" w:cs="Arial"/>
        </w:rPr>
        <w:t xml:space="preserve">and its application are set out </w:t>
      </w:r>
      <w:r w:rsidR="004B705F">
        <w:rPr>
          <w:rFonts w:ascii="Arial" w:hAnsi="Arial" w:cs="Arial"/>
        </w:rPr>
        <w:t xml:space="preserve">in </w:t>
      </w:r>
      <w:r w:rsidR="004B705F" w:rsidRPr="006C6999">
        <w:rPr>
          <w:rFonts w:ascii="Arial" w:hAnsi="Arial" w:cs="Arial"/>
        </w:rPr>
        <w:t>“</w:t>
      </w:r>
      <w:r w:rsidR="004B705F" w:rsidRPr="004B705F">
        <w:rPr>
          <w:rFonts w:ascii="Arial" w:hAnsi="Arial" w:cs="Arial"/>
          <w:b/>
        </w:rPr>
        <w:t>Annexure C</w:t>
      </w:r>
      <w:r w:rsidR="004B705F" w:rsidRPr="006C6999">
        <w:rPr>
          <w:rFonts w:ascii="Arial" w:hAnsi="Arial" w:cs="Arial"/>
        </w:rPr>
        <w:t>”</w:t>
      </w:r>
      <w:r w:rsidR="004B705F">
        <w:rPr>
          <w:rFonts w:ascii="Arial" w:hAnsi="Arial" w:cs="Arial"/>
        </w:rPr>
        <w:t xml:space="preserve"> </w:t>
      </w:r>
      <w:r w:rsidR="006F42AF">
        <w:rPr>
          <w:rFonts w:ascii="Arial" w:hAnsi="Arial" w:cs="Arial"/>
        </w:rPr>
        <w:t>to</w:t>
      </w:r>
      <w:r w:rsidR="006C6999" w:rsidRPr="006C6999">
        <w:rPr>
          <w:rFonts w:ascii="Arial" w:hAnsi="Arial" w:cs="Arial"/>
        </w:rPr>
        <w:t xml:space="preserve"> </w:t>
      </w:r>
      <w:r w:rsidR="004B705F">
        <w:rPr>
          <w:rFonts w:ascii="Arial" w:hAnsi="Arial" w:cs="Arial"/>
        </w:rPr>
        <w:t xml:space="preserve">our </w:t>
      </w:r>
      <w:r w:rsidR="006C6999" w:rsidRPr="006C6999">
        <w:rPr>
          <w:rFonts w:ascii="Arial" w:hAnsi="Arial" w:cs="Arial"/>
        </w:rPr>
        <w:t>order.</w:t>
      </w:r>
      <w:r w:rsidR="00F66FB4">
        <w:rPr>
          <w:rStyle w:val="FootnoteReference"/>
          <w:rFonts w:ascii="Arial" w:hAnsi="Arial" w:cs="Arial"/>
        </w:rPr>
        <w:footnoteReference w:id="128"/>
      </w:r>
      <w:r w:rsidR="006C6999">
        <w:rPr>
          <w:rFonts w:ascii="Arial" w:hAnsi="Arial" w:cs="Arial"/>
        </w:rPr>
        <w:t xml:space="preserve"> </w:t>
      </w:r>
    </w:p>
    <w:p w:rsidR="00FF34EC" w:rsidRPr="00FF34EC" w:rsidRDefault="00FF34EC" w:rsidP="00FF34EC">
      <w:pPr>
        <w:pStyle w:val="ListParagraph"/>
        <w:spacing w:after="240" w:line="360" w:lineRule="auto"/>
        <w:ind w:left="0"/>
        <w:jc w:val="both"/>
        <w:rPr>
          <w:rFonts w:ascii="Arial" w:hAnsi="Arial" w:cs="Arial"/>
          <w:i/>
        </w:rPr>
      </w:pPr>
      <w:r w:rsidRPr="00FF34EC">
        <w:rPr>
          <w:rFonts w:ascii="Arial" w:hAnsi="Arial" w:cs="Arial"/>
          <w:i/>
        </w:rPr>
        <w:t>Divestiture remedy</w:t>
      </w:r>
    </w:p>
    <w:p w:rsidR="00736ECC" w:rsidRPr="00736ECC" w:rsidRDefault="00793D34" w:rsidP="00736ECC">
      <w:pPr>
        <w:pStyle w:val="ListParagraph"/>
        <w:numPr>
          <w:ilvl w:val="0"/>
          <w:numId w:val="2"/>
        </w:numPr>
        <w:spacing w:after="240" w:line="360" w:lineRule="auto"/>
        <w:ind w:left="0" w:firstLine="0"/>
        <w:jc w:val="both"/>
        <w:rPr>
          <w:rFonts w:ascii="Arial" w:hAnsi="Arial" w:cs="Arial"/>
        </w:rPr>
      </w:pPr>
      <w:r w:rsidRPr="00736ECC">
        <w:rPr>
          <w:rFonts w:ascii="Arial" w:hAnsi="Arial" w:cs="Arial"/>
        </w:rPr>
        <w:t>We next discuss the additional “divestiture remedy</w:t>
      </w:r>
      <w:r w:rsidR="00B641FB">
        <w:rPr>
          <w:rFonts w:ascii="Arial" w:hAnsi="Arial" w:cs="Arial"/>
        </w:rPr>
        <w:t>”</w:t>
      </w:r>
      <w:r w:rsidRPr="00736ECC">
        <w:rPr>
          <w:rFonts w:ascii="Arial" w:hAnsi="Arial" w:cs="Arial"/>
        </w:rPr>
        <w:t xml:space="preserve"> tendered by the merging parties </w:t>
      </w:r>
      <w:r w:rsidR="00FF34EC" w:rsidRPr="00736ECC">
        <w:rPr>
          <w:rFonts w:ascii="Arial" w:hAnsi="Arial" w:cs="Arial"/>
        </w:rPr>
        <w:t xml:space="preserve">which </w:t>
      </w:r>
      <w:r w:rsidR="00342CBE" w:rsidRPr="00736ECC">
        <w:rPr>
          <w:rFonts w:ascii="Arial" w:hAnsi="Arial" w:cs="Arial"/>
        </w:rPr>
        <w:t xml:space="preserve">we note specifically includes </w:t>
      </w:r>
      <w:r w:rsidRPr="00736ECC">
        <w:rPr>
          <w:rFonts w:ascii="Arial" w:hAnsi="Arial" w:cs="Arial"/>
        </w:rPr>
        <w:t xml:space="preserve">Arkema’s </w:t>
      </w:r>
      <w:r w:rsidRPr="00736ECC">
        <w:rPr>
          <w:rFonts w:ascii="Arial" w:hAnsi="Arial" w:cs="Arial"/>
          <w:u w:val="single"/>
        </w:rPr>
        <w:t>mining UPR</w:t>
      </w:r>
      <w:r w:rsidRPr="00736ECC">
        <w:rPr>
          <w:rFonts w:ascii="Arial" w:hAnsi="Arial" w:cs="Arial"/>
        </w:rPr>
        <w:t xml:space="preserve"> intangible assets</w:t>
      </w:r>
      <w:r w:rsidR="00342CBE" w:rsidRPr="00736ECC">
        <w:rPr>
          <w:rFonts w:ascii="Arial" w:hAnsi="Arial" w:cs="Arial"/>
        </w:rPr>
        <w:t xml:space="preserve"> </w:t>
      </w:r>
      <w:r w:rsidR="00B40022">
        <w:rPr>
          <w:rFonts w:ascii="Arial" w:hAnsi="Arial" w:cs="Arial"/>
        </w:rPr>
        <w:t>and</w:t>
      </w:r>
      <w:r w:rsidRPr="00736ECC">
        <w:rPr>
          <w:rFonts w:ascii="Arial" w:hAnsi="Arial" w:cs="Arial"/>
        </w:rPr>
        <w:t xml:space="preserve"> all other </w:t>
      </w:r>
      <w:r w:rsidR="00342CBE" w:rsidRPr="00736ECC">
        <w:rPr>
          <w:rFonts w:ascii="Arial" w:hAnsi="Arial" w:cs="Arial"/>
        </w:rPr>
        <w:t xml:space="preserve">UPR </w:t>
      </w:r>
      <w:r w:rsidRPr="00736ECC">
        <w:rPr>
          <w:rFonts w:ascii="Arial" w:hAnsi="Arial" w:cs="Arial"/>
        </w:rPr>
        <w:t>product formulations and recipes of Arkema</w:t>
      </w:r>
      <w:r w:rsidR="00825F09">
        <w:rPr>
          <w:rFonts w:ascii="Arial" w:hAnsi="Arial" w:cs="Arial"/>
        </w:rPr>
        <w:t xml:space="preserve"> SA</w:t>
      </w:r>
      <w:r w:rsidR="00A31066" w:rsidRPr="00736ECC">
        <w:rPr>
          <w:rFonts w:ascii="Arial" w:hAnsi="Arial" w:cs="Arial"/>
        </w:rPr>
        <w:t>. In other words</w:t>
      </w:r>
      <w:r w:rsidR="00825F09">
        <w:rPr>
          <w:rFonts w:ascii="Arial" w:hAnsi="Arial" w:cs="Arial"/>
        </w:rPr>
        <w:t>,</w:t>
      </w:r>
      <w:r w:rsidR="00A31066" w:rsidRPr="00736ECC">
        <w:rPr>
          <w:rFonts w:ascii="Arial" w:hAnsi="Arial" w:cs="Arial"/>
        </w:rPr>
        <w:t xml:space="preserve"> </w:t>
      </w:r>
      <w:r w:rsidR="00CF04D9" w:rsidRPr="00736ECC">
        <w:rPr>
          <w:rFonts w:ascii="Arial" w:hAnsi="Arial" w:cs="Arial"/>
        </w:rPr>
        <w:t>t</w:t>
      </w:r>
      <w:r w:rsidRPr="00736ECC">
        <w:rPr>
          <w:rFonts w:ascii="Arial" w:hAnsi="Arial" w:cs="Arial"/>
        </w:rPr>
        <w:t xml:space="preserve">he remedy </w:t>
      </w:r>
      <w:r w:rsidR="00CF04D9" w:rsidRPr="00736ECC">
        <w:rPr>
          <w:rFonts w:ascii="Arial" w:hAnsi="Arial" w:cs="Arial"/>
        </w:rPr>
        <w:t>relates to both</w:t>
      </w:r>
      <w:r w:rsidRPr="00736ECC">
        <w:rPr>
          <w:rFonts w:ascii="Arial" w:hAnsi="Arial" w:cs="Arial"/>
        </w:rPr>
        <w:t xml:space="preserve"> the mining and non-mining segment</w:t>
      </w:r>
      <w:r w:rsidR="00736ECC" w:rsidRPr="00736ECC">
        <w:rPr>
          <w:rFonts w:ascii="Arial" w:hAnsi="Arial" w:cs="Arial"/>
        </w:rPr>
        <w:t>s</w:t>
      </w:r>
      <w:r w:rsidR="00A31066" w:rsidRPr="00736ECC">
        <w:rPr>
          <w:rFonts w:ascii="Arial" w:hAnsi="Arial" w:cs="Arial"/>
        </w:rPr>
        <w:t xml:space="preserve"> of Arkema</w:t>
      </w:r>
      <w:r w:rsidR="00736ECC" w:rsidRPr="00736ECC">
        <w:rPr>
          <w:rFonts w:ascii="Arial" w:hAnsi="Arial" w:cs="Arial"/>
        </w:rPr>
        <w:t xml:space="preserve"> SA</w:t>
      </w:r>
      <w:r w:rsidR="00A31066" w:rsidRPr="00736ECC">
        <w:rPr>
          <w:rFonts w:ascii="Arial" w:hAnsi="Arial" w:cs="Arial"/>
        </w:rPr>
        <w:t>’s UPR business</w:t>
      </w:r>
      <w:r w:rsidR="00EE2DAA" w:rsidRPr="00736ECC">
        <w:rPr>
          <w:rFonts w:ascii="Arial" w:hAnsi="Arial" w:cs="Arial"/>
        </w:rPr>
        <w:t xml:space="preserve">. </w:t>
      </w:r>
      <w:r w:rsidR="00736ECC" w:rsidRPr="00736ECC">
        <w:rPr>
          <w:rFonts w:ascii="Arial" w:hAnsi="Arial" w:cs="Arial"/>
        </w:rPr>
        <w:t>More specifically, the assets to be divested include - in respect of both Arkema</w:t>
      </w:r>
      <w:r w:rsidR="00736ECC">
        <w:rPr>
          <w:rFonts w:ascii="Arial" w:hAnsi="Arial" w:cs="Arial"/>
        </w:rPr>
        <w:t xml:space="preserve"> SA</w:t>
      </w:r>
      <w:r w:rsidR="00736ECC" w:rsidRPr="00736ECC">
        <w:rPr>
          <w:rFonts w:ascii="Arial" w:hAnsi="Arial" w:cs="Arial"/>
        </w:rPr>
        <w:t xml:space="preserve">’s mining and non-mining products: </w:t>
      </w:r>
    </w:p>
    <w:p w:rsidR="00736ECC" w:rsidRDefault="00736ECC" w:rsidP="00736ECC">
      <w:pPr>
        <w:pStyle w:val="ListParagraph"/>
        <w:numPr>
          <w:ilvl w:val="0"/>
          <w:numId w:val="6"/>
        </w:numPr>
        <w:spacing w:after="240" w:line="360" w:lineRule="auto"/>
        <w:jc w:val="both"/>
        <w:rPr>
          <w:rFonts w:ascii="Arial" w:hAnsi="Arial" w:cs="Arial"/>
        </w:rPr>
      </w:pPr>
      <w:r w:rsidRPr="00EE2DAA">
        <w:rPr>
          <w:rFonts w:ascii="Arial" w:hAnsi="Arial" w:cs="Arial"/>
        </w:rPr>
        <w:t xml:space="preserve">all Arkema’s base resin formulations; </w:t>
      </w:r>
    </w:p>
    <w:p w:rsidR="00736ECC" w:rsidRDefault="00736ECC" w:rsidP="00736ECC">
      <w:pPr>
        <w:pStyle w:val="ListParagraph"/>
        <w:numPr>
          <w:ilvl w:val="0"/>
          <w:numId w:val="6"/>
        </w:numPr>
        <w:spacing w:after="240" w:line="360" w:lineRule="auto"/>
        <w:jc w:val="both"/>
        <w:rPr>
          <w:rFonts w:ascii="Arial" w:hAnsi="Arial" w:cs="Arial"/>
        </w:rPr>
      </w:pPr>
      <w:r w:rsidRPr="00EE2DAA">
        <w:rPr>
          <w:rFonts w:ascii="Arial" w:hAnsi="Arial" w:cs="Arial"/>
        </w:rPr>
        <w:t xml:space="preserve">all Arkema’s blended resin formulations; </w:t>
      </w:r>
    </w:p>
    <w:p w:rsidR="00736ECC" w:rsidRDefault="00736ECC" w:rsidP="00736ECC">
      <w:pPr>
        <w:pStyle w:val="ListParagraph"/>
        <w:numPr>
          <w:ilvl w:val="0"/>
          <w:numId w:val="6"/>
        </w:numPr>
        <w:spacing w:after="240" w:line="360" w:lineRule="auto"/>
        <w:jc w:val="both"/>
        <w:rPr>
          <w:rFonts w:ascii="Arial" w:hAnsi="Arial" w:cs="Arial"/>
        </w:rPr>
      </w:pPr>
      <w:r w:rsidRPr="00EE2DAA">
        <w:rPr>
          <w:rFonts w:ascii="Arial" w:hAnsi="Arial" w:cs="Arial"/>
        </w:rPr>
        <w:t xml:space="preserve">specifications for all intermediate base resins and finished products; </w:t>
      </w:r>
    </w:p>
    <w:p w:rsidR="00736ECC" w:rsidRDefault="00736ECC" w:rsidP="00736ECC">
      <w:pPr>
        <w:pStyle w:val="ListParagraph"/>
        <w:numPr>
          <w:ilvl w:val="0"/>
          <w:numId w:val="6"/>
        </w:numPr>
        <w:spacing w:after="240" w:line="360" w:lineRule="auto"/>
        <w:jc w:val="both"/>
        <w:rPr>
          <w:rFonts w:ascii="Arial" w:hAnsi="Arial" w:cs="Arial"/>
        </w:rPr>
      </w:pPr>
      <w:r w:rsidRPr="00EE2DAA">
        <w:rPr>
          <w:rFonts w:ascii="Arial" w:hAnsi="Arial" w:cs="Arial"/>
        </w:rPr>
        <w:t xml:space="preserve">job cards for all formulations and products; </w:t>
      </w:r>
    </w:p>
    <w:p w:rsidR="00736ECC" w:rsidRDefault="00736ECC" w:rsidP="00736ECC">
      <w:pPr>
        <w:pStyle w:val="ListParagraph"/>
        <w:numPr>
          <w:ilvl w:val="0"/>
          <w:numId w:val="6"/>
        </w:numPr>
        <w:spacing w:after="240" w:line="360" w:lineRule="auto"/>
        <w:jc w:val="both"/>
        <w:rPr>
          <w:rFonts w:ascii="Arial" w:hAnsi="Arial" w:cs="Arial"/>
        </w:rPr>
      </w:pPr>
      <w:r w:rsidRPr="00EE2DAA">
        <w:rPr>
          <w:rFonts w:ascii="Arial" w:hAnsi="Arial" w:cs="Arial"/>
        </w:rPr>
        <w:t xml:space="preserve">batch process records for all formulations and products; </w:t>
      </w:r>
    </w:p>
    <w:p w:rsidR="00736ECC" w:rsidRDefault="00736ECC" w:rsidP="00736ECC">
      <w:pPr>
        <w:pStyle w:val="ListParagraph"/>
        <w:numPr>
          <w:ilvl w:val="0"/>
          <w:numId w:val="6"/>
        </w:numPr>
        <w:spacing w:after="240" w:line="360" w:lineRule="auto"/>
        <w:jc w:val="both"/>
        <w:rPr>
          <w:rFonts w:ascii="Arial" w:hAnsi="Arial" w:cs="Arial"/>
        </w:rPr>
      </w:pPr>
      <w:r w:rsidRPr="00EE2DAA">
        <w:rPr>
          <w:rFonts w:ascii="Arial" w:hAnsi="Arial" w:cs="Arial"/>
        </w:rPr>
        <w:lastRenderedPageBreak/>
        <w:t xml:space="preserve">test methods for all parameters measured to ensure compliance to specifications; </w:t>
      </w:r>
    </w:p>
    <w:p w:rsidR="00736ECC" w:rsidRDefault="00736ECC" w:rsidP="00736ECC">
      <w:pPr>
        <w:pStyle w:val="ListParagraph"/>
        <w:numPr>
          <w:ilvl w:val="0"/>
          <w:numId w:val="6"/>
        </w:numPr>
        <w:spacing w:after="240" w:line="360" w:lineRule="auto"/>
        <w:jc w:val="both"/>
        <w:rPr>
          <w:rFonts w:ascii="Arial" w:hAnsi="Arial" w:cs="Arial"/>
        </w:rPr>
      </w:pPr>
      <w:r w:rsidRPr="00EE2DAA">
        <w:rPr>
          <w:rFonts w:ascii="Arial" w:hAnsi="Arial" w:cs="Arial"/>
        </w:rPr>
        <w:t xml:space="preserve">technical data sheets for all products, resale materials and raw materials used in the manufacturing process; </w:t>
      </w:r>
    </w:p>
    <w:p w:rsidR="00736ECC" w:rsidRDefault="00736ECC" w:rsidP="00736ECC">
      <w:pPr>
        <w:pStyle w:val="ListParagraph"/>
        <w:numPr>
          <w:ilvl w:val="0"/>
          <w:numId w:val="6"/>
        </w:numPr>
        <w:spacing w:after="240" w:line="360" w:lineRule="auto"/>
        <w:jc w:val="both"/>
        <w:rPr>
          <w:rFonts w:ascii="Arial" w:hAnsi="Arial" w:cs="Arial"/>
        </w:rPr>
      </w:pPr>
      <w:r w:rsidRPr="00EE2DAA">
        <w:rPr>
          <w:rFonts w:ascii="Arial" w:hAnsi="Arial" w:cs="Arial"/>
        </w:rPr>
        <w:t xml:space="preserve">product development laboratory knowledge; </w:t>
      </w:r>
    </w:p>
    <w:p w:rsidR="00736ECC" w:rsidRDefault="00736ECC" w:rsidP="00736ECC">
      <w:pPr>
        <w:pStyle w:val="ListParagraph"/>
        <w:numPr>
          <w:ilvl w:val="0"/>
          <w:numId w:val="6"/>
        </w:numPr>
        <w:spacing w:after="240" w:line="360" w:lineRule="auto"/>
        <w:jc w:val="both"/>
        <w:rPr>
          <w:rFonts w:ascii="Arial" w:hAnsi="Arial" w:cs="Arial"/>
        </w:rPr>
      </w:pPr>
      <w:r w:rsidRPr="00EE2DAA">
        <w:rPr>
          <w:rFonts w:ascii="Arial" w:hAnsi="Arial" w:cs="Arial"/>
        </w:rPr>
        <w:t xml:space="preserve">composites application laboratory knowledge; </w:t>
      </w:r>
    </w:p>
    <w:p w:rsidR="00736ECC" w:rsidRDefault="00736ECC" w:rsidP="00736ECC">
      <w:pPr>
        <w:pStyle w:val="ListParagraph"/>
        <w:numPr>
          <w:ilvl w:val="0"/>
          <w:numId w:val="6"/>
        </w:numPr>
        <w:spacing w:after="240" w:line="360" w:lineRule="auto"/>
        <w:jc w:val="both"/>
        <w:rPr>
          <w:rFonts w:ascii="Arial" w:hAnsi="Arial" w:cs="Arial"/>
        </w:rPr>
      </w:pPr>
      <w:r w:rsidRPr="00EE2DAA">
        <w:rPr>
          <w:rFonts w:ascii="Arial" w:hAnsi="Arial" w:cs="Arial"/>
        </w:rPr>
        <w:t xml:space="preserve">process laboratory knowledge for the resin plant and polyester blending; </w:t>
      </w:r>
    </w:p>
    <w:p w:rsidR="00736ECC" w:rsidRDefault="00736ECC" w:rsidP="00736ECC">
      <w:pPr>
        <w:pStyle w:val="ListParagraph"/>
        <w:numPr>
          <w:ilvl w:val="0"/>
          <w:numId w:val="6"/>
        </w:numPr>
        <w:spacing w:after="240" w:line="360" w:lineRule="auto"/>
        <w:jc w:val="both"/>
        <w:rPr>
          <w:rFonts w:ascii="Arial" w:hAnsi="Arial" w:cs="Arial"/>
        </w:rPr>
      </w:pPr>
      <w:r>
        <w:rPr>
          <w:rFonts w:ascii="Arial" w:hAnsi="Arial" w:cs="Arial"/>
        </w:rPr>
        <w:t xml:space="preserve">all </w:t>
      </w:r>
      <w:r w:rsidRPr="00EE2DAA">
        <w:rPr>
          <w:rFonts w:ascii="Arial" w:hAnsi="Arial" w:cs="Arial"/>
        </w:rPr>
        <w:t xml:space="preserve">customer lists (and contact information relating to specific customers) and sales histories </w:t>
      </w:r>
      <w:r w:rsidRPr="004F11E8">
        <w:rPr>
          <w:rFonts w:ascii="Arial" w:hAnsi="Arial" w:cs="Arial"/>
        </w:rPr>
        <w:t xml:space="preserve">including product codes </w:t>
      </w:r>
      <w:r w:rsidRPr="00EE2DAA">
        <w:rPr>
          <w:rFonts w:ascii="Arial" w:hAnsi="Arial" w:cs="Arial"/>
        </w:rPr>
        <w:t>relating to specific customers applicable to Arkema</w:t>
      </w:r>
      <w:r>
        <w:rPr>
          <w:rFonts w:ascii="Arial" w:hAnsi="Arial" w:cs="Arial"/>
        </w:rPr>
        <w:t xml:space="preserve"> SA</w:t>
      </w:r>
      <w:r w:rsidRPr="00EE2DAA">
        <w:rPr>
          <w:rFonts w:ascii="Arial" w:hAnsi="Arial" w:cs="Arial"/>
        </w:rPr>
        <w:t>’s UPR products (which would allow matching products to customers);</w:t>
      </w:r>
    </w:p>
    <w:p w:rsidR="00736ECC" w:rsidRDefault="00736ECC" w:rsidP="00736ECC">
      <w:pPr>
        <w:pStyle w:val="ListParagraph"/>
        <w:numPr>
          <w:ilvl w:val="0"/>
          <w:numId w:val="6"/>
        </w:numPr>
        <w:spacing w:after="240" w:line="360" w:lineRule="auto"/>
        <w:jc w:val="both"/>
        <w:rPr>
          <w:rFonts w:ascii="Arial" w:hAnsi="Arial" w:cs="Arial"/>
        </w:rPr>
      </w:pPr>
      <w:r w:rsidRPr="004F11E8">
        <w:rPr>
          <w:rFonts w:ascii="Arial" w:hAnsi="Arial" w:cs="Arial"/>
        </w:rPr>
        <w:t xml:space="preserve">all information pertaining to </w:t>
      </w:r>
      <w:r w:rsidRPr="00EE2DAA">
        <w:rPr>
          <w:rFonts w:ascii="Arial" w:hAnsi="Arial" w:cs="Arial"/>
        </w:rPr>
        <w:t xml:space="preserve">contact details of existing suppliers of raw materials to Arkema </w:t>
      </w:r>
      <w:r>
        <w:rPr>
          <w:rFonts w:ascii="Arial" w:hAnsi="Arial" w:cs="Arial"/>
        </w:rPr>
        <w:t xml:space="preserve">SA </w:t>
      </w:r>
      <w:r w:rsidRPr="00EE2DAA">
        <w:rPr>
          <w:rFonts w:ascii="Arial" w:hAnsi="Arial" w:cs="Arial"/>
        </w:rPr>
        <w:t>(both domestic and international), and copies of all existing supply agreements (subject to applicable contractual confidentiality provisions</w:t>
      </w:r>
      <w:r>
        <w:rPr>
          <w:rFonts w:ascii="Arial" w:hAnsi="Arial" w:cs="Arial"/>
        </w:rPr>
        <w:t>,</w:t>
      </w:r>
      <w:r w:rsidRPr="00EE2DAA">
        <w:rPr>
          <w:rFonts w:ascii="Arial" w:hAnsi="Arial" w:cs="Arial"/>
        </w:rPr>
        <w:t xml:space="preserve"> if any); and </w:t>
      </w:r>
    </w:p>
    <w:p w:rsidR="00736ECC" w:rsidRDefault="00736ECC" w:rsidP="00736ECC">
      <w:pPr>
        <w:pStyle w:val="ListParagraph"/>
        <w:numPr>
          <w:ilvl w:val="0"/>
          <w:numId w:val="6"/>
        </w:numPr>
        <w:spacing w:after="240" w:line="360" w:lineRule="auto"/>
        <w:jc w:val="both"/>
        <w:rPr>
          <w:rFonts w:ascii="Arial" w:hAnsi="Arial" w:cs="Arial"/>
        </w:rPr>
      </w:pPr>
      <w:proofErr w:type="gramStart"/>
      <w:r w:rsidRPr="00EE2DAA">
        <w:rPr>
          <w:rFonts w:ascii="Arial" w:hAnsi="Arial" w:cs="Arial"/>
        </w:rPr>
        <w:t>the</w:t>
      </w:r>
      <w:proofErr w:type="gramEnd"/>
      <w:r w:rsidRPr="00EE2DAA">
        <w:rPr>
          <w:rFonts w:ascii="Arial" w:hAnsi="Arial" w:cs="Arial"/>
        </w:rPr>
        <w:t xml:space="preserve"> </w:t>
      </w:r>
      <w:r>
        <w:rPr>
          <w:rFonts w:ascii="Arial" w:hAnsi="Arial" w:cs="Arial"/>
        </w:rPr>
        <w:t xml:space="preserve">specific </w:t>
      </w:r>
      <w:r w:rsidRPr="00EE2DAA">
        <w:rPr>
          <w:rFonts w:ascii="Arial" w:hAnsi="Arial" w:cs="Arial"/>
        </w:rPr>
        <w:t>entitlement to use the term “</w:t>
      </w:r>
      <w:r w:rsidRPr="00E135CC">
        <w:rPr>
          <w:rFonts w:ascii="Arial" w:hAnsi="Arial" w:cs="Arial"/>
          <w:i/>
        </w:rPr>
        <w:t>UPR formerly made by Arkema Resins (Pty) Ltd</w:t>
      </w:r>
      <w:r w:rsidRPr="00EE2DAA">
        <w:rPr>
          <w:rFonts w:ascii="Arial" w:hAnsi="Arial" w:cs="Arial"/>
        </w:rPr>
        <w:t xml:space="preserve">” for </w:t>
      </w:r>
      <w:r>
        <w:rPr>
          <w:rFonts w:ascii="Arial" w:hAnsi="Arial" w:cs="Arial"/>
        </w:rPr>
        <w:t xml:space="preserve">a certain period </w:t>
      </w:r>
      <w:r w:rsidRPr="00EE2DAA">
        <w:rPr>
          <w:rFonts w:ascii="Arial" w:hAnsi="Arial" w:cs="Arial"/>
        </w:rPr>
        <w:t>on all packaging labels, order confirmations and invoices.</w:t>
      </w:r>
      <w:r>
        <w:rPr>
          <w:rStyle w:val="FootnoteReference"/>
          <w:rFonts w:ascii="Arial" w:hAnsi="Arial" w:cs="Arial"/>
        </w:rPr>
        <w:footnoteReference w:id="129"/>
      </w:r>
      <w:r w:rsidRPr="00EE2DAA">
        <w:rPr>
          <w:rFonts w:ascii="Arial" w:hAnsi="Arial" w:cs="Arial"/>
        </w:rPr>
        <w:t xml:space="preserve">  </w:t>
      </w:r>
    </w:p>
    <w:p w:rsidR="00736ECC" w:rsidRDefault="00EE2DAA" w:rsidP="0080582B">
      <w:pPr>
        <w:pStyle w:val="ListParagraph"/>
        <w:numPr>
          <w:ilvl w:val="0"/>
          <w:numId w:val="2"/>
        </w:numPr>
        <w:spacing w:after="240" w:line="360" w:lineRule="auto"/>
        <w:ind w:left="0" w:firstLine="0"/>
        <w:jc w:val="both"/>
        <w:rPr>
          <w:rFonts w:ascii="Arial" w:hAnsi="Arial" w:cs="Arial"/>
        </w:rPr>
      </w:pPr>
      <w:r w:rsidRPr="00B14DF8">
        <w:rPr>
          <w:rFonts w:ascii="Arial" w:hAnsi="Arial" w:cs="Arial"/>
        </w:rPr>
        <w:t xml:space="preserve">The </w:t>
      </w:r>
      <w:r w:rsidR="00736ECC">
        <w:rPr>
          <w:rFonts w:ascii="Arial" w:hAnsi="Arial" w:cs="Arial"/>
        </w:rPr>
        <w:t xml:space="preserve">tendered </w:t>
      </w:r>
      <w:r w:rsidRPr="00B14DF8">
        <w:rPr>
          <w:rFonts w:ascii="Arial" w:hAnsi="Arial" w:cs="Arial"/>
        </w:rPr>
        <w:t xml:space="preserve">remedy </w:t>
      </w:r>
      <w:r w:rsidR="00CF04D9" w:rsidRPr="00B14DF8">
        <w:rPr>
          <w:rFonts w:ascii="Arial" w:hAnsi="Arial" w:cs="Arial"/>
        </w:rPr>
        <w:t>further makes provision for a toll manufacturing agreement on ordinary commercial terms</w:t>
      </w:r>
      <w:r w:rsidR="00736ECC">
        <w:rPr>
          <w:rFonts w:ascii="Arial" w:hAnsi="Arial" w:cs="Arial"/>
        </w:rPr>
        <w:t xml:space="preserve"> for a certain period</w:t>
      </w:r>
      <w:r w:rsidR="00CF04D9" w:rsidRPr="00B14DF8">
        <w:rPr>
          <w:rFonts w:ascii="Arial" w:hAnsi="Arial" w:cs="Arial"/>
        </w:rPr>
        <w:t>.</w:t>
      </w:r>
      <w:r w:rsidRPr="00B14DF8">
        <w:rPr>
          <w:rFonts w:ascii="Arial" w:hAnsi="Arial" w:cs="Arial"/>
        </w:rPr>
        <w:t xml:space="preserve"> </w:t>
      </w:r>
    </w:p>
    <w:p w:rsidR="00B14DF8" w:rsidRDefault="00B40022" w:rsidP="0080582B">
      <w:pPr>
        <w:pStyle w:val="ListParagraph"/>
        <w:numPr>
          <w:ilvl w:val="0"/>
          <w:numId w:val="2"/>
        </w:numPr>
        <w:spacing w:after="240" w:line="360" w:lineRule="auto"/>
        <w:ind w:left="0" w:firstLine="0"/>
        <w:jc w:val="both"/>
        <w:rPr>
          <w:rFonts w:ascii="Arial" w:hAnsi="Arial" w:cs="Arial"/>
        </w:rPr>
      </w:pPr>
      <w:r>
        <w:rPr>
          <w:rFonts w:ascii="Arial" w:hAnsi="Arial" w:cs="Arial"/>
        </w:rPr>
        <w:t>T</w:t>
      </w:r>
      <w:r w:rsidR="00A31066">
        <w:rPr>
          <w:rFonts w:ascii="Arial" w:hAnsi="Arial" w:cs="Arial"/>
        </w:rPr>
        <w:t>he proposed remedy</w:t>
      </w:r>
      <w:r w:rsidR="00EE2DAA" w:rsidRPr="00B14DF8">
        <w:rPr>
          <w:rFonts w:ascii="Arial" w:hAnsi="Arial" w:cs="Arial"/>
        </w:rPr>
        <w:t xml:space="preserve"> excludes </w:t>
      </w:r>
      <w:r w:rsidR="00793D34" w:rsidRPr="00B14DF8">
        <w:rPr>
          <w:rFonts w:ascii="Arial" w:hAnsi="Arial" w:cs="Arial"/>
        </w:rPr>
        <w:t xml:space="preserve">tangible assets </w:t>
      </w:r>
      <w:r w:rsidR="00B14DF8" w:rsidRPr="00B14DF8">
        <w:rPr>
          <w:rFonts w:ascii="Arial" w:hAnsi="Arial" w:cs="Arial"/>
        </w:rPr>
        <w:t>such as industrial assets, warehouses, land, buildings, plant and equipment and other fixed assets</w:t>
      </w:r>
      <w:r w:rsidR="00EE2DAA" w:rsidRPr="00B14DF8">
        <w:rPr>
          <w:rFonts w:ascii="Arial" w:hAnsi="Arial" w:cs="Arial"/>
        </w:rPr>
        <w:t>.</w:t>
      </w:r>
      <w:r w:rsidR="00A313D4" w:rsidRPr="00B14DF8">
        <w:rPr>
          <w:rFonts w:ascii="Arial" w:hAnsi="Arial" w:cs="Arial"/>
        </w:rPr>
        <w:t xml:space="preserve"> The </w:t>
      </w:r>
      <w:r w:rsidR="00A31066">
        <w:rPr>
          <w:rFonts w:ascii="Arial" w:hAnsi="Arial" w:cs="Arial"/>
        </w:rPr>
        <w:t xml:space="preserve">tendered </w:t>
      </w:r>
      <w:r w:rsidR="00A313D4" w:rsidRPr="00B14DF8">
        <w:rPr>
          <w:rFonts w:ascii="Arial" w:hAnsi="Arial" w:cs="Arial"/>
        </w:rPr>
        <w:t xml:space="preserve">divestment </w:t>
      </w:r>
      <w:r w:rsidR="00736ECC">
        <w:rPr>
          <w:rFonts w:ascii="Arial" w:hAnsi="Arial" w:cs="Arial"/>
        </w:rPr>
        <w:t xml:space="preserve">remedy </w:t>
      </w:r>
      <w:r w:rsidR="00A313D4" w:rsidRPr="00B14DF8">
        <w:rPr>
          <w:rFonts w:ascii="Arial" w:hAnsi="Arial" w:cs="Arial"/>
        </w:rPr>
        <w:t>also excludes the employees which are employed in the UPRs component of Arkema</w:t>
      </w:r>
      <w:r w:rsidR="00A31066">
        <w:rPr>
          <w:rFonts w:ascii="Arial" w:hAnsi="Arial" w:cs="Arial"/>
        </w:rPr>
        <w:t xml:space="preserve"> SA</w:t>
      </w:r>
      <w:r w:rsidR="00A313D4" w:rsidRPr="00B14DF8">
        <w:rPr>
          <w:rFonts w:ascii="Arial" w:hAnsi="Arial" w:cs="Arial"/>
        </w:rPr>
        <w:t xml:space="preserve">’s operations.  </w:t>
      </w:r>
    </w:p>
    <w:p w:rsidR="00793D34" w:rsidRDefault="00793D34" w:rsidP="0080582B">
      <w:pPr>
        <w:pStyle w:val="ListParagraph"/>
        <w:numPr>
          <w:ilvl w:val="0"/>
          <w:numId w:val="2"/>
        </w:numPr>
        <w:spacing w:after="240" w:line="360" w:lineRule="auto"/>
        <w:ind w:left="0" w:firstLine="0"/>
        <w:jc w:val="both"/>
        <w:rPr>
          <w:rFonts w:ascii="Arial" w:hAnsi="Arial" w:cs="Arial"/>
        </w:rPr>
      </w:pPr>
      <w:r w:rsidRPr="00A5558E">
        <w:rPr>
          <w:rFonts w:ascii="Arial" w:hAnsi="Arial" w:cs="Arial"/>
        </w:rPr>
        <w:t xml:space="preserve">Leveugle explained the purpose and value of the </w:t>
      </w:r>
      <w:r w:rsidR="006A58FB">
        <w:rPr>
          <w:rFonts w:ascii="Arial" w:hAnsi="Arial" w:cs="Arial"/>
        </w:rPr>
        <w:t xml:space="preserve">proposed </w:t>
      </w:r>
      <w:r w:rsidRPr="00A5558E">
        <w:rPr>
          <w:rFonts w:ascii="Arial" w:hAnsi="Arial" w:cs="Arial"/>
        </w:rPr>
        <w:t>divestment remedy</w:t>
      </w:r>
      <w:r w:rsidR="00736ECC">
        <w:rPr>
          <w:rFonts w:ascii="Arial" w:hAnsi="Arial" w:cs="Arial"/>
        </w:rPr>
        <w:t xml:space="preserve"> as a package</w:t>
      </w:r>
      <w:r w:rsidR="004F11E8">
        <w:rPr>
          <w:rFonts w:ascii="Arial" w:hAnsi="Arial" w:cs="Arial"/>
        </w:rPr>
        <w:t>, specifically the benefit of having the</w:t>
      </w:r>
      <w:r w:rsidR="00736ECC">
        <w:rPr>
          <w:rFonts w:ascii="Arial" w:hAnsi="Arial" w:cs="Arial"/>
        </w:rPr>
        <w:t xml:space="preserve"> tendered </w:t>
      </w:r>
      <w:r w:rsidR="004F11E8">
        <w:rPr>
          <w:rFonts w:ascii="Arial" w:hAnsi="Arial" w:cs="Arial"/>
        </w:rPr>
        <w:t>intangible assets available immediately,</w:t>
      </w:r>
      <w:r w:rsidRPr="00A5558E">
        <w:rPr>
          <w:rFonts w:ascii="Arial" w:hAnsi="Arial" w:cs="Arial"/>
        </w:rPr>
        <w:t xml:space="preserve"> as follows: “</w:t>
      </w:r>
      <w:r w:rsidRPr="00A5558E">
        <w:rPr>
          <w:rFonts w:ascii="Arial" w:hAnsi="Arial" w:cs="Arial"/>
          <w:i/>
        </w:rPr>
        <w:t xml:space="preserve">the principle is that we make available basically three things </w:t>
      </w:r>
      <w:r w:rsidRPr="00A5558E">
        <w:rPr>
          <w:rFonts w:ascii="Arial" w:hAnsi="Arial" w:cs="Arial"/>
          <w:i/>
        </w:rPr>
        <w:lastRenderedPageBreak/>
        <w:t xml:space="preserve">that are connected in a customer list; the recipe of the products that are sold, the knowledge of the application of the customers and all technical background of those applications and the channel to the customers. The channel to the customers means the history, the sales, contacts of course and everything linked to those customers. So, </w:t>
      </w:r>
      <w:proofErr w:type="gramStart"/>
      <w:r w:rsidRPr="00A5558E">
        <w:rPr>
          <w:rFonts w:ascii="Arial" w:hAnsi="Arial" w:cs="Arial"/>
          <w:i/>
        </w:rPr>
        <w:t>each individual information</w:t>
      </w:r>
      <w:proofErr w:type="gramEnd"/>
      <w:r w:rsidRPr="00A5558E">
        <w:rPr>
          <w:rFonts w:ascii="Arial" w:hAnsi="Arial" w:cs="Arial"/>
          <w:i/>
        </w:rPr>
        <w:t xml:space="preserve"> separately might be of little interest. However, it is the connection of all those pieces of information that are manufacturing data, marketing data, technical marketing in our business and channel to the customer. So, it is all that together, a package, that makes sense and value, because if you have only the product and no channel to the customers, you have an issue. If you have the channel but no products, it’s a pity, but if you have everything together, then you can do business and then it has a value</w:t>
      </w:r>
      <w:r w:rsidRPr="00A5558E">
        <w:rPr>
          <w:rFonts w:ascii="Arial" w:hAnsi="Arial" w:cs="Arial"/>
        </w:rPr>
        <w:t>”;</w:t>
      </w:r>
      <w:r>
        <w:rPr>
          <w:rStyle w:val="FootnoteReference"/>
          <w:rFonts w:ascii="Arial" w:hAnsi="Arial" w:cs="Arial"/>
        </w:rPr>
        <w:footnoteReference w:id="130"/>
      </w:r>
      <w:r w:rsidRPr="00A5558E">
        <w:rPr>
          <w:rFonts w:ascii="Arial" w:hAnsi="Arial" w:cs="Arial"/>
        </w:rPr>
        <w:t xml:space="preserve"> and</w:t>
      </w:r>
      <w:r>
        <w:rPr>
          <w:rFonts w:ascii="Arial" w:hAnsi="Arial" w:cs="Arial"/>
        </w:rPr>
        <w:t xml:space="preserve"> “</w:t>
      </w:r>
      <w:r w:rsidRPr="00A5558E">
        <w:rPr>
          <w:rFonts w:ascii="Arial" w:hAnsi="Arial" w:cs="Arial"/>
          <w:i/>
        </w:rPr>
        <w:t xml:space="preserve">what is proposed here is the connection between the manufacturing knowledge, the technical marketing knowledge around the applications, which allows the owner of that knowledge to sell immediately a product that fits and the channel. So, obviously it’s a combination of those three </w:t>
      </w:r>
      <w:proofErr w:type="spellStart"/>
      <w:r w:rsidRPr="00A5558E">
        <w:rPr>
          <w:rFonts w:ascii="Arial" w:hAnsi="Arial" w:cs="Arial"/>
          <w:i/>
        </w:rPr>
        <w:t>knowledges</w:t>
      </w:r>
      <w:proofErr w:type="spellEnd"/>
      <w:r w:rsidRPr="00A5558E">
        <w:rPr>
          <w:rFonts w:ascii="Arial" w:hAnsi="Arial" w:cs="Arial"/>
          <w:i/>
        </w:rPr>
        <w:t xml:space="preserve"> or set of data that makes sense and you could reverse engineer the products, but then if you don’t know the application, you would have difficulty to sell, to have the right agreement to the customer to sell it and to propose a service after the first sale. Moreover, it takes time, reverse engineer</w:t>
      </w:r>
      <w:r w:rsidR="008D6B08">
        <w:rPr>
          <w:rFonts w:ascii="Arial" w:hAnsi="Arial" w:cs="Arial"/>
          <w:i/>
        </w:rPr>
        <w:t>ing</w:t>
      </w:r>
      <w:r w:rsidRPr="00A5558E">
        <w:rPr>
          <w:rFonts w:ascii="Arial" w:hAnsi="Arial" w:cs="Arial"/>
          <w:i/>
        </w:rPr>
        <w:t xml:space="preserve">. We spoke about more than </w:t>
      </w:r>
      <w:r w:rsidR="004F11E8">
        <w:rPr>
          <w:rFonts w:ascii="Arial" w:hAnsi="Arial" w:cs="Arial"/>
          <w:i/>
        </w:rPr>
        <w:t>[...]</w:t>
      </w:r>
      <w:r w:rsidRPr="00A5558E">
        <w:rPr>
          <w:rFonts w:ascii="Arial" w:hAnsi="Arial" w:cs="Arial"/>
          <w:i/>
        </w:rPr>
        <w:t xml:space="preserve"> recipes. So, it’s a hell of a time to do that product-by-product and then to be able to go to the customers and to sell it in the right packaging, with the right service. Yes, after three or four years’ of work, it might be possible maybe. I’m not sure, but maybe, but here the value is available immediately. So, you can make business immediately. This is totally different than working during years, because working during </w:t>
      </w:r>
      <w:proofErr w:type="gramStart"/>
      <w:r w:rsidRPr="00A5558E">
        <w:rPr>
          <w:rFonts w:ascii="Arial" w:hAnsi="Arial" w:cs="Arial"/>
          <w:i/>
        </w:rPr>
        <w:t>years,</w:t>
      </w:r>
      <w:proofErr w:type="gramEnd"/>
      <w:r w:rsidRPr="00A5558E">
        <w:rPr>
          <w:rFonts w:ascii="Arial" w:hAnsi="Arial" w:cs="Arial"/>
          <w:i/>
        </w:rPr>
        <w:t xml:space="preserve"> in fact, it is the equivalent of a development project</w:t>
      </w:r>
      <w:r w:rsidRPr="00A5558E">
        <w:rPr>
          <w:rFonts w:ascii="Arial" w:hAnsi="Arial" w:cs="Arial"/>
        </w:rPr>
        <w:t>.”</w:t>
      </w:r>
      <w:r>
        <w:rPr>
          <w:rStyle w:val="FootnoteReference"/>
          <w:rFonts w:ascii="Arial" w:hAnsi="Arial" w:cs="Arial"/>
        </w:rPr>
        <w:footnoteReference w:id="131"/>
      </w:r>
      <w:r w:rsidRPr="00A5558E">
        <w:rPr>
          <w:rFonts w:ascii="Arial" w:hAnsi="Arial" w:cs="Arial"/>
        </w:rPr>
        <w:t xml:space="preserve"> </w:t>
      </w:r>
    </w:p>
    <w:p w:rsidR="00793D34" w:rsidRDefault="00793D34" w:rsidP="0080582B">
      <w:pPr>
        <w:pStyle w:val="ListParagraph"/>
        <w:numPr>
          <w:ilvl w:val="0"/>
          <w:numId w:val="2"/>
        </w:numPr>
        <w:spacing w:after="240" w:line="360" w:lineRule="auto"/>
        <w:ind w:left="0" w:firstLine="0"/>
        <w:jc w:val="both"/>
        <w:rPr>
          <w:rFonts w:ascii="Arial" w:hAnsi="Arial" w:cs="Arial"/>
        </w:rPr>
      </w:pPr>
      <w:r w:rsidRPr="00C97F9A">
        <w:rPr>
          <w:rFonts w:ascii="Arial" w:hAnsi="Arial" w:cs="Arial"/>
        </w:rPr>
        <w:t xml:space="preserve">Perrow </w:t>
      </w:r>
      <w:r w:rsidR="003F67D4">
        <w:rPr>
          <w:rFonts w:ascii="Arial" w:hAnsi="Arial" w:cs="Arial"/>
        </w:rPr>
        <w:t xml:space="preserve">also held the </w:t>
      </w:r>
      <w:r w:rsidRPr="00C97F9A">
        <w:rPr>
          <w:rFonts w:ascii="Arial" w:hAnsi="Arial" w:cs="Arial"/>
        </w:rPr>
        <w:t>view that th</w:t>
      </w:r>
      <w:r w:rsidR="00736ECC">
        <w:rPr>
          <w:rFonts w:ascii="Arial" w:hAnsi="Arial" w:cs="Arial"/>
        </w:rPr>
        <w:t xml:space="preserve">e tendered </w:t>
      </w:r>
      <w:r w:rsidRPr="00C97F9A">
        <w:rPr>
          <w:rFonts w:ascii="Arial" w:hAnsi="Arial" w:cs="Arial"/>
        </w:rPr>
        <w:t>remedy would be of significant value to a party seeking to enter or expand within the UPR market in South Africa</w:t>
      </w:r>
      <w:r w:rsidR="003F67D4">
        <w:rPr>
          <w:rFonts w:ascii="Arial" w:hAnsi="Arial" w:cs="Arial"/>
        </w:rPr>
        <w:t xml:space="preserve">, specifically mentioning the benefits of having access to </w:t>
      </w:r>
      <w:r w:rsidR="00E46256">
        <w:rPr>
          <w:rFonts w:ascii="Arial" w:hAnsi="Arial" w:cs="Arial"/>
        </w:rPr>
        <w:t xml:space="preserve">input supplier </w:t>
      </w:r>
      <w:r w:rsidR="00736ECC">
        <w:rPr>
          <w:rFonts w:ascii="Arial" w:hAnsi="Arial" w:cs="Arial"/>
        </w:rPr>
        <w:t xml:space="preserve">as well as </w:t>
      </w:r>
      <w:r w:rsidR="003F67D4">
        <w:rPr>
          <w:rFonts w:ascii="Arial" w:hAnsi="Arial" w:cs="Arial"/>
        </w:rPr>
        <w:t xml:space="preserve">customer details and </w:t>
      </w:r>
      <w:r w:rsidR="00E46256">
        <w:rPr>
          <w:rFonts w:ascii="Arial" w:hAnsi="Arial" w:cs="Arial"/>
        </w:rPr>
        <w:t xml:space="preserve">effectively </w:t>
      </w:r>
      <w:r w:rsidR="003F67D4">
        <w:rPr>
          <w:rFonts w:ascii="Arial" w:hAnsi="Arial" w:cs="Arial"/>
        </w:rPr>
        <w:t>being the “</w:t>
      </w:r>
      <w:r w:rsidR="003F67D4" w:rsidRPr="003F67D4">
        <w:rPr>
          <w:rFonts w:ascii="Arial" w:hAnsi="Arial" w:cs="Arial"/>
          <w:i/>
        </w:rPr>
        <w:t>incumbent</w:t>
      </w:r>
      <w:r w:rsidR="003F67D4">
        <w:rPr>
          <w:rFonts w:ascii="Arial" w:hAnsi="Arial" w:cs="Arial"/>
        </w:rPr>
        <w:t>” supplier</w:t>
      </w:r>
      <w:r w:rsidR="00736ECC">
        <w:rPr>
          <w:rFonts w:ascii="Arial" w:hAnsi="Arial" w:cs="Arial"/>
        </w:rPr>
        <w:t xml:space="preserve"> in the market</w:t>
      </w:r>
      <w:r w:rsidRPr="00C97F9A">
        <w:rPr>
          <w:rFonts w:ascii="Arial" w:hAnsi="Arial" w:cs="Arial"/>
        </w:rPr>
        <w:t xml:space="preserve">. He </w:t>
      </w:r>
      <w:r w:rsidR="00736ECC">
        <w:rPr>
          <w:rFonts w:ascii="Arial" w:hAnsi="Arial" w:cs="Arial"/>
        </w:rPr>
        <w:t>testified:</w:t>
      </w:r>
      <w:r w:rsidRPr="00C97F9A">
        <w:rPr>
          <w:rFonts w:ascii="Arial" w:hAnsi="Arial" w:cs="Arial"/>
        </w:rPr>
        <w:t xml:space="preserve"> </w:t>
      </w:r>
      <w:r w:rsidRPr="00C97F9A">
        <w:rPr>
          <w:rFonts w:ascii="Arial" w:hAnsi="Arial" w:cs="Arial"/>
          <w:i/>
        </w:rPr>
        <w:t>“</w:t>
      </w:r>
      <w:r w:rsidR="00783E92">
        <w:rPr>
          <w:rFonts w:ascii="Arial" w:hAnsi="Arial" w:cs="Arial"/>
          <w:i/>
        </w:rPr>
        <w:t>t</w:t>
      </w:r>
      <w:r w:rsidRPr="00C97F9A">
        <w:rPr>
          <w:rFonts w:ascii="Arial" w:hAnsi="Arial" w:cs="Arial"/>
          <w:i/>
        </w:rPr>
        <w:t>he customer list for me is the cherry for myself and the sales history and the matching products. So, you’ve got you carrying the range for all of their existing products. So, the acquiring</w:t>
      </w:r>
      <w:r w:rsidR="003F67D4">
        <w:rPr>
          <w:rFonts w:ascii="Arial" w:hAnsi="Arial" w:cs="Arial"/>
          <w:i/>
        </w:rPr>
        <w:t xml:space="preserve"> [firm]</w:t>
      </w:r>
      <w:r w:rsidRPr="00C97F9A">
        <w:rPr>
          <w:rFonts w:ascii="Arial" w:hAnsi="Arial" w:cs="Arial"/>
          <w:i/>
        </w:rPr>
        <w:t xml:space="preserve">, NCS would have to </w:t>
      </w:r>
      <w:proofErr w:type="spellStart"/>
      <w:r w:rsidRPr="00C97F9A">
        <w:rPr>
          <w:rFonts w:ascii="Arial" w:hAnsi="Arial" w:cs="Arial"/>
          <w:i/>
        </w:rPr>
        <w:t>requalify</w:t>
      </w:r>
      <w:proofErr w:type="spellEnd"/>
      <w:r w:rsidRPr="00C97F9A">
        <w:rPr>
          <w:rFonts w:ascii="Arial" w:hAnsi="Arial" w:cs="Arial"/>
          <w:i/>
        </w:rPr>
        <w:t xml:space="preserve"> their products, whereas the new entrant has got the product. He is the incumbent supplier rather than NCS. So, they are on the front foot ...  </w:t>
      </w:r>
      <w:r w:rsidRPr="00C97F9A">
        <w:rPr>
          <w:rFonts w:ascii="Arial" w:hAnsi="Arial" w:cs="Arial"/>
          <w:i/>
        </w:rPr>
        <w:lastRenderedPageBreak/>
        <w:t xml:space="preserve">Number two [all product formulations, specifications and knowhow] would be of significant assistance to the production and technical guy ... They would welcome that information </w:t>
      </w:r>
      <w:r w:rsidR="00783E92">
        <w:rPr>
          <w:rFonts w:ascii="Arial" w:hAnsi="Arial" w:cs="Arial"/>
          <w:i/>
        </w:rPr>
        <w:t xml:space="preserve">... </w:t>
      </w:r>
      <w:r w:rsidRPr="00C97F9A">
        <w:rPr>
          <w:rFonts w:ascii="Arial" w:hAnsi="Arial" w:cs="Arial"/>
          <w:i/>
        </w:rPr>
        <w:t>and they would</w:t>
      </w:r>
      <w:r w:rsidR="00783E92">
        <w:rPr>
          <w:rFonts w:ascii="Arial" w:hAnsi="Arial" w:cs="Arial"/>
          <w:i/>
        </w:rPr>
        <w:t xml:space="preserve"> b</w:t>
      </w:r>
      <w:r w:rsidRPr="00C97F9A">
        <w:rPr>
          <w:rFonts w:ascii="Arial" w:hAnsi="Arial" w:cs="Arial"/>
          <w:i/>
        </w:rPr>
        <w:t>e able to start up immediately ... Then for the purchaser they know exactly where to purchase. Should they want to start up on their own, they’ve got the manual on how to succeed in the polyester resin industry, the A to Z, and if they can’t crack it with this information, then they shouldn’t be in the industry ....</w:t>
      </w:r>
      <w:r>
        <w:rPr>
          <w:rFonts w:ascii="Arial" w:hAnsi="Arial" w:cs="Arial"/>
        </w:rPr>
        <w:t>”</w:t>
      </w:r>
      <w:r>
        <w:rPr>
          <w:rStyle w:val="FootnoteReference"/>
          <w:rFonts w:ascii="Arial" w:hAnsi="Arial" w:cs="Arial"/>
        </w:rPr>
        <w:footnoteReference w:id="132"/>
      </w:r>
    </w:p>
    <w:p w:rsidR="002E103A" w:rsidRPr="008279F7" w:rsidRDefault="008132BC" w:rsidP="00F94A2A">
      <w:pPr>
        <w:pStyle w:val="ListParagraph"/>
        <w:numPr>
          <w:ilvl w:val="0"/>
          <w:numId w:val="2"/>
        </w:numPr>
        <w:spacing w:after="240" w:line="360" w:lineRule="auto"/>
        <w:ind w:left="0" w:firstLine="0"/>
        <w:jc w:val="both"/>
        <w:rPr>
          <w:rFonts w:ascii="Arial" w:hAnsi="Arial" w:cs="Arial"/>
        </w:rPr>
      </w:pPr>
      <w:r w:rsidRPr="008279F7">
        <w:rPr>
          <w:rFonts w:ascii="Arial" w:hAnsi="Arial" w:cs="Arial"/>
        </w:rPr>
        <w:t xml:space="preserve">Beal of ADD Resins also considered the offered intangible </w:t>
      </w:r>
      <w:r w:rsidR="00B1576C" w:rsidRPr="008279F7">
        <w:rPr>
          <w:rFonts w:ascii="Arial" w:hAnsi="Arial" w:cs="Arial"/>
        </w:rPr>
        <w:t xml:space="preserve">Arkema SA </w:t>
      </w:r>
      <w:r w:rsidRPr="008279F7">
        <w:rPr>
          <w:rFonts w:ascii="Arial" w:hAnsi="Arial" w:cs="Arial"/>
        </w:rPr>
        <w:t xml:space="preserve">assets in terms of the proposed remedy to be of </w:t>
      </w:r>
      <w:r w:rsidR="006F3D2D" w:rsidRPr="008279F7">
        <w:rPr>
          <w:rFonts w:ascii="Arial" w:hAnsi="Arial" w:cs="Arial"/>
        </w:rPr>
        <w:t>benefit</w:t>
      </w:r>
      <w:r w:rsidRPr="008279F7">
        <w:rPr>
          <w:rFonts w:ascii="Arial" w:hAnsi="Arial" w:cs="Arial"/>
        </w:rPr>
        <w:t>.</w:t>
      </w:r>
      <w:r w:rsidR="00D11A4C" w:rsidRPr="008279F7">
        <w:rPr>
          <w:rStyle w:val="FootnoteReference"/>
          <w:rFonts w:ascii="Arial" w:hAnsi="Arial" w:cs="Arial"/>
        </w:rPr>
        <w:footnoteReference w:id="133"/>
      </w:r>
      <w:r w:rsidRPr="008279F7">
        <w:rPr>
          <w:rFonts w:ascii="Arial" w:hAnsi="Arial" w:cs="Arial"/>
        </w:rPr>
        <w:t xml:space="preserve"> Yunus of Scott Bader </w:t>
      </w:r>
      <w:r w:rsidR="00D93D76" w:rsidRPr="008279F7">
        <w:rPr>
          <w:rFonts w:ascii="Arial" w:hAnsi="Arial" w:cs="Arial"/>
        </w:rPr>
        <w:t>agreed</w:t>
      </w:r>
      <w:r w:rsidRPr="008279F7">
        <w:rPr>
          <w:rFonts w:ascii="Arial" w:hAnsi="Arial" w:cs="Arial"/>
        </w:rPr>
        <w:t xml:space="preserve"> that access to Arkema</w:t>
      </w:r>
      <w:r w:rsidR="00B1576C" w:rsidRPr="008279F7">
        <w:rPr>
          <w:rFonts w:ascii="Arial" w:hAnsi="Arial" w:cs="Arial"/>
        </w:rPr>
        <w:t xml:space="preserve"> SA</w:t>
      </w:r>
      <w:r w:rsidRPr="008279F7">
        <w:rPr>
          <w:rFonts w:ascii="Arial" w:hAnsi="Arial" w:cs="Arial"/>
        </w:rPr>
        <w:t xml:space="preserve">’s recipes </w:t>
      </w:r>
      <w:r w:rsidR="00D93D76" w:rsidRPr="008279F7">
        <w:rPr>
          <w:rFonts w:ascii="Arial" w:hAnsi="Arial" w:cs="Arial"/>
        </w:rPr>
        <w:t xml:space="preserve">would provide Scott Bader with virtual immediate access to a </w:t>
      </w:r>
      <w:r w:rsidR="00E9613C">
        <w:rPr>
          <w:rFonts w:ascii="Arial" w:hAnsi="Arial" w:cs="Arial"/>
        </w:rPr>
        <w:t>[...]</w:t>
      </w:r>
      <w:r w:rsidR="00D93D76" w:rsidRPr="008279F7">
        <w:rPr>
          <w:rFonts w:ascii="Arial" w:hAnsi="Arial" w:cs="Arial"/>
        </w:rPr>
        <w:t xml:space="preserve"> of formulations</w:t>
      </w:r>
      <w:r w:rsidRPr="008279F7">
        <w:rPr>
          <w:rFonts w:ascii="Arial" w:hAnsi="Arial" w:cs="Arial"/>
        </w:rPr>
        <w:t>.</w:t>
      </w:r>
      <w:r w:rsidR="00D11A4C" w:rsidRPr="008279F7">
        <w:rPr>
          <w:rStyle w:val="FootnoteReference"/>
          <w:rFonts w:ascii="Arial" w:hAnsi="Arial" w:cs="Arial"/>
        </w:rPr>
        <w:footnoteReference w:id="134"/>
      </w:r>
      <w:r w:rsidRPr="008279F7">
        <w:rPr>
          <w:rFonts w:ascii="Arial" w:hAnsi="Arial" w:cs="Arial"/>
        </w:rPr>
        <w:t xml:space="preserve"> Moosa was of the view that the offered Arkema SA recipes </w:t>
      </w:r>
      <w:r w:rsidR="001B2141" w:rsidRPr="008279F7">
        <w:rPr>
          <w:rFonts w:ascii="Arial" w:hAnsi="Arial" w:cs="Arial"/>
        </w:rPr>
        <w:t xml:space="preserve">relating to mining UPR </w:t>
      </w:r>
      <w:r w:rsidRPr="008279F7">
        <w:rPr>
          <w:rFonts w:ascii="Arial" w:hAnsi="Arial" w:cs="Arial"/>
        </w:rPr>
        <w:t>“</w:t>
      </w:r>
      <w:r w:rsidR="002E103A" w:rsidRPr="008279F7">
        <w:rPr>
          <w:rFonts w:ascii="Arial" w:hAnsi="Arial" w:cs="Arial"/>
          <w:i/>
        </w:rPr>
        <w:t>would add value</w:t>
      </w:r>
      <w:r w:rsidR="001B2141" w:rsidRPr="008279F7">
        <w:rPr>
          <w:rFonts w:ascii="Arial" w:hAnsi="Arial" w:cs="Arial"/>
        </w:rPr>
        <w:t>” to KZN Resins’ resin base,</w:t>
      </w:r>
      <w:r w:rsidRPr="008279F7">
        <w:rPr>
          <w:rFonts w:ascii="Arial" w:hAnsi="Arial" w:cs="Arial"/>
        </w:rPr>
        <w:t xml:space="preserve"> </w:t>
      </w:r>
      <w:r w:rsidR="001B2141" w:rsidRPr="008279F7">
        <w:rPr>
          <w:rFonts w:ascii="Arial" w:hAnsi="Arial" w:cs="Arial"/>
        </w:rPr>
        <w:t>but would not guarantee the business of the mining sector customers.</w:t>
      </w:r>
      <w:r w:rsidR="00D11A4C" w:rsidRPr="008279F7">
        <w:rPr>
          <w:rStyle w:val="FootnoteReference"/>
          <w:rFonts w:ascii="Arial" w:hAnsi="Arial" w:cs="Arial"/>
        </w:rPr>
        <w:footnoteReference w:id="135"/>
      </w:r>
      <w:r w:rsidR="00577A0D" w:rsidRPr="008279F7">
        <w:rPr>
          <w:rFonts w:ascii="Arial" w:hAnsi="Arial" w:cs="Arial"/>
        </w:rPr>
        <w:t xml:space="preserve"> The </w:t>
      </w:r>
      <w:r w:rsidR="00204C7E" w:rsidRPr="008279F7">
        <w:rPr>
          <w:rFonts w:ascii="Arial" w:hAnsi="Arial" w:cs="Arial"/>
        </w:rPr>
        <w:t xml:space="preserve">evidence of the mining UPR customers was however that the </w:t>
      </w:r>
      <w:r w:rsidR="00577A0D" w:rsidRPr="008279F7">
        <w:rPr>
          <w:rFonts w:ascii="Arial" w:hAnsi="Arial" w:cs="Arial"/>
        </w:rPr>
        <w:t>proposed merger</w:t>
      </w:r>
      <w:r w:rsidR="00EE1A0C" w:rsidRPr="008279F7">
        <w:rPr>
          <w:rFonts w:ascii="Arial" w:hAnsi="Arial" w:cs="Arial"/>
        </w:rPr>
        <w:t>, if approved,</w:t>
      </w:r>
      <w:r w:rsidR="00577A0D" w:rsidRPr="008279F7">
        <w:rPr>
          <w:rFonts w:ascii="Arial" w:hAnsi="Arial" w:cs="Arial"/>
        </w:rPr>
        <w:t xml:space="preserve"> would force the</w:t>
      </w:r>
      <w:r w:rsidR="00E91CC3" w:rsidRPr="008279F7">
        <w:rPr>
          <w:rFonts w:ascii="Arial" w:hAnsi="Arial" w:cs="Arial"/>
        </w:rPr>
        <w:t>m</w:t>
      </w:r>
      <w:r w:rsidR="00577A0D" w:rsidRPr="008279F7">
        <w:rPr>
          <w:rFonts w:ascii="Arial" w:hAnsi="Arial" w:cs="Arial"/>
        </w:rPr>
        <w:t xml:space="preserve"> to look for alternative sources of supply of mining UPR.</w:t>
      </w:r>
      <w:r w:rsidR="00E91CC3" w:rsidRPr="008279F7">
        <w:rPr>
          <w:rStyle w:val="FootnoteReference"/>
          <w:rFonts w:ascii="Arial" w:hAnsi="Arial" w:cs="Arial"/>
        </w:rPr>
        <w:footnoteReference w:id="136"/>
      </w:r>
    </w:p>
    <w:p w:rsidR="00793D34" w:rsidRPr="004A4C29" w:rsidRDefault="00E46256" w:rsidP="0080582B">
      <w:pPr>
        <w:pStyle w:val="ListParagraph"/>
        <w:numPr>
          <w:ilvl w:val="0"/>
          <w:numId w:val="2"/>
        </w:numPr>
        <w:spacing w:after="240" w:line="360" w:lineRule="auto"/>
        <w:ind w:left="0" w:firstLine="0"/>
        <w:jc w:val="both"/>
        <w:rPr>
          <w:rFonts w:ascii="Arial" w:hAnsi="Arial" w:cs="Arial"/>
        </w:rPr>
      </w:pPr>
      <w:r>
        <w:rPr>
          <w:rFonts w:ascii="Arial" w:hAnsi="Arial" w:cs="Arial"/>
        </w:rPr>
        <w:t xml:space="preserve">With regards to </w:t>
      </w:r>
      <w:r w:rsidR="00467D10">
        <w:rPr>
          <w:rFonts w:ascii="Arial" w:hAnsi="Arial" w:cs="Arial"/>
        </w:rPr>
        <w:t xml:space="preserve">the </w:t>
      </w:r>
      <w:r>
        <w:rPr>
          <w:rFonts w:ascii="Arial" w:hAnsi="Arial" w:cs="Arial"/>
        </w:rPr>
        <w:t>exclusiv</w:t>
      </w:r>
      <w:r w:rsidR="00467D10">
        <w:rPr>
          <w:rFonts w:ascii="Arial" w:hAnsi="Arial" w:cs="Arial"/>
        </w:rPr>
        <w:t>e nature of the divestiture remedy</w:t>
      </w:r>
      <w:r>
        <w:rPr>
          <w:rFonts w:ascii="Arial" w:hAnsi="Arial" w:cs="Arial"/>
        </w:rPr>
        <w:t xml:space="preserve">, </w:t>
      </w:r>
      <w:r w:rsidR="00793D34" w:rsidRPr="004A4C29">
        <w:rPr>
          <w:rFonts w:ascii="Arial" w:hAnsi="Arial" w:cs="Arial"/>
        </w:rPr>
        <w:t xml:space="preserve">Hodge was of the view that the likelihood of </w:t>
      </w:r>
      <w:r w:rsidR="00793D34">
        <w:rPr>
          <w:rFonts w:ascii="Arial" w:hAnsi="Arial" w:cs="Arial"/>
        </w:rPr>
        <w:t xml:space="preserve">new </w:t>
      </w:r>
      <w:r w:rsidR="00793D34" w:rsidRPr="004A4C29">
        <w:rPr>
          <w:rFonts w:ascii="Arial" w:hAnsi="Arial" w:cs="Arial"/>
        </w:rPr>
        <w:t>entr</w:t>
      </w:r>
      <w:r>
        <w:rPr>
          <w:rFonts w:ascii="Arial" w:hAnsi="Arial" w:cs="Arial"/>
        </w:rPr>
        <w:t>y</w:t>
      </w:r>
      <w:r w:rsidR="00793D34">
        <w:rPr>
          <w:rFonts w:ascii="Arial" w:hAnsi="Arial" w:cs="Arial"/>
        </w:rPr>
        <w:t xml:space="preserve"> in the </w:t>
      </w:r>
      <w:r w:rsidR="00A11344">
        <w:rPr>
          <w:rFonts w:ascii="Arial" w:hAnsi="Arial" w:cs="Arial"/>
        </w:rPr>
        <w:t xml:space="preserve">UPR </w:t>
      </w:r>
      <w:r w:rsidR="00793D34">
        <w:rPr>
          <w:rFonts w:ascii="Arial" w:hAnsi="Arial" w:cs="Arial"/>
        </w:rPr>
        <w:t>market</w:t>
      </w:r>
      <w:r w:rsidR="00A11344">
        <w:rPr>
          <w:rFonts w:ascii="Arial" w:hAnsi="Arial" w:cs="Arial"/>
        </w:rPr>
        <w:t>s</w:t>
      </w:r>
      <w:r w:rsidR="00793D34">
        <w:rPr>
          <w:rFonts w:ascii="Arial" w:hAnsi="Arial" w:cs="Arial"/>
        </w:rPr>
        <w:t xml:space="preserve"> </w:t>
      </w:r>
      <w:r w:rsidR="00793D34" w:rsidRPr="004A4C29">
        <w:rPr>
          <w:rFonts w:ascii="Arial" w:hAnsi="Arial" w:cs="Arial"/>
        </w:rPr>
        <w:t>would be enhanced by exclusive access</w:t>
      </w:r>
      <w:r w:rsidR="00793D34">
        <w:rPr>
          <w:rFonts w:ascii="Arial" w:hAnsi="Arial" w:cs="Arial"/>
        </w:rPr>
        <w:t xml:space="preserve"> to the </w:t>
      </w:r>
      <w:r>
        <w:rPr>
          <w:rFonts w:ascii="Arial" w:hAnsi="Arial" w:cs="Arial"/>
        </w:rPr>
        <w:t xml:space="preserve">Arkema SA </w:t>
      </w:r>
      <w:r w:rsidR="00793D34">
        <w:rPr>
          <w:rFonts w:ascii="Arial" w:hAnsi="Arial" w:cs="Arial"/>
        </w:rPr>
        <w:t>formulations, recipes and customer details</w:t>
      </w:r>
      <w:r w:rsidR="00793D34" w:rsidRPr="004A4C29">
        <w:rPr>
          <w:rFonts w:ascii="Arial" w:hAnsi="Arial" w:cs="Arial"/>
        </w:rPr>
        <w:t xml:space="preserve">, and that capital expenditure </w:t>
      </w:r>
      <w:r w:rsidR="00467D10">
        <w:rPr>
          <w:rFonts w:ascii="Arial" w:hAnsi="Arial" w:cs="Arial"/>
        </w:rPr>
        <w:t xml:space="preserve">would be </w:t>
      </w:r>
      <w:r w:rsidR="00793D34">
        <w:rPr>
          <w:rFonts w:ascii="Arial" w:hAnsi="Arial" w:cs="Arial"/>
        </w:rPr>
        <w:t xml:space="preserve">less </w:t>
      </w:r>
      <w:r w:rsidR="00793D34" w:rsidRPr="004A4C29">
        <w:rPr>
          <w:rFonts w:ascii="Arial" w:hAnsi="Arial" w:cs="Arial"/>
        </w:rPr>
        <w:t xml:space="preserve">likely </w:t>
      </w:r>
      <w:r w:rsidR="00793D34">
        <w:rPr>
          <w:rFonts w:ascii="Arial" w:hAnsi="Arial" w:cs="Arial"/>
        </w:rPr>
        <w:t xml:space="preserve">should </w:t>
      </w:r>
      <w:r w:rsidR="00793D34" w:rsidRPr="004A4C29">
        <w:rPr>
          <w:rFonts w:ascii="Arial" w:hAnsi="Arial" w:cs="Arial"/>
        </w:rPr>
        <w:t xml:space="preserve">the information be </w:t>
      </w:r>
      <w:r>
        <w:rPr>
          <w:rFonts w:ascii="Arial" w:hAnsi="Arial" w:cs="Arial"/>
        </w:rPr>
        <w:t xml:space="preserve">made </w:t>
      </w:r>
      <w:r w:rsidR="00793D34" w:rsidRPr="004A4C29">
        <w:rPr>
          <w:rFonts w:ascii="Arial" w:hAnsi="Arial" w:cs="Arial"/>
        </w:rPr>
        <w:t>available publicly</w:t>
      </w:r>
      <w:r w:rsidR="00793D34">
        <w:rPr>
          <w:rFonts w:ascii="Arial" w:hAnsi="Arial" w:cs="Arial"/>
        </w:rPr>
        <w:t xml:space="preserve"> in </w:t>
      </w:r>
      <w:r>
        <w:rPr>
          <w:rFonts w:ascii="Arial" w:hAnsi="Arial" w:cs="Arial"/>
        </w:rPr>
        <w:t>a</w:t>
      </w:r>
      <w:r w:rsidR="00793D34">
        <w:rPr>
          <w:rFonts w:ascii="Arial" w:hAnsi="Arial" w:cs="Arial"/>
        </w:rPr>
        <w:t xml:space="preserve"> repository</w:t>
      </w:r>
      <w:r w:rsidR="00793D34" w:rsidRPr="004A4C29">
        <w:rPr>
          <w:rFonts w:ascii="Arial" w:hAnsi="Arial" w:cs="Arial"/>
        </w:rPr>
        <w:t>.</w:t>
      </w:r>
      <w:r w:rsidR="00793D34">
        <w:rPr>
          <w:rStyle w:val="FootnoteReference"/>
          <w:rFonts w:ascii="Arial" w:hAnsi="Arial" w:cs="Arial"/>
        </w:rPr>
        <w:footnoteReference w:id="137"/>
      </w:r>
      <w:r w:rsidR="00793D34" w:rsidRPr="004A4C29">
        <w:rPr>
          <w:rFonts w:ascii="Arial" w:hAnsi="Arial" w:cs="Arial"/>
        </w:rPr>
        <w:t xml:space="preserve"> Hodge</w:t>
      </w:r>
      <w:r w:rsidR="00793D34">
        <w:rPr>
          <w:rFonts w:ascii="Arial" w:hAnsi="Arial" w:cs="Arial"/>
        </w:rPr>
        <w:t xml:space="preserve">’s view </w:t>
      </w:r>
      <w:r w:rsidR="007D4AB6">
        <w:rPr>
          <w:rFonts w:ascii="Arial" w:hAnsi="Arial" w:cs="Arial"/>
        </w:rPr>
        <w:t>w</w:t>
      </w:r>
      <w:r w:rsidR="00793D34">
        <w:rPr>
          <w:rFonts w:ascii="Arial" w:hAnsi="Arial" w:cs="Arial"/>
        </w:rPr>
        <w:t>as that</w:t>
      </w:r>
      <w:r w:rsidR="00793D34" w:rsidRPr="004A4C29">
        <w:rPr>
          <w:rFonts w:ascii="Arial" w:hAnsi="Arial" w:cs="Arial"/>
        </w:rPr>
        <w:t xml:space="preserve"> “</w:t>
      </w:r>
      <w:r w:rsidR="00793D34" w:rsidRPr="00B260FD">
        <w:rPr>
          <w:rFonts w:ascii="Arial" w:hAnsi="Arial" w:cs="Arial"/>
          <w:i/>
        </w:rPr>
        <w:t>the alternative with the toll manufacturing and the like may encourage someone like ADD or another reseller to up their game and bec</w:t>
      </w:r>
      <w:r w:rsidR="00725A84">
        <w:rPr>
          <w:rFonts w:ascii="Arial" w:hAnsi="Arial" w:cs="Arial"/>
          <w:i/>
        </w:rPr>
        <w:t>o</w:t>
      </w:r>
      <w:r w:rsidR="00793D34" w:rsidRPr="00B260FD">
        <w:rPr>
          <w:rFonts w:ascii="Arial" w:hAnsi="Arial" w:cs="Arial"/>
          <w:i/>
        </w:rPr>
        <w:t>me a more significant competitor in the market and that may have positive long-term outcomes</w:t>
      </w:r>
      <w:r w:rsidR="00793D34" w:rsidRPr="004A4C29">
        <w:rPr>
          <w:rFonts w:ascii="Arial" w:hAnsi="Arial" w:cs="Arial"/>
        </w:rPr>
        <w:t>”</w:t>
      </w:r>
      <w:r w:rsidR="00B641FB">
        <w:rPr>
          <w:rFonts w:ascii="Arial" w:hAnsi="Arial" w:cs="Arial"/>
        </w:rPr>
        <w:t>.</w:t>
      </w:r>
      <w:r w:rsidR="00793D34">
        <w:rPr>
          <w:rStyle w:val="FootnoteReference"/>
          <w:rFonts w:ascii="Arial" w:hAnsi="Arial" w:cs="Arial"/>
        </w:rPr>
        <w:footnoteReference w:id="138"/>
      </w:r>
      <w:r w:rsidR="00793D34">
        <w:rPr>
          <w:rFonts w:ascii="Arial" w:hAnsi="Arial" w:cs="Arial"/>
        </w:rPr>
        <w:t xml:space="preserve"> We concur with the view that a significant investment by </w:t>
      </w:r>
      <w:r w:rsidR="00BD75E4" w:rsidRPr="00A44AD3">
        <w:rPr>
          <w:rFonts w:ascii="Arial" w:hAnsi="Arial" w:cs="Arial"/>
        </w:rPr>
        <w:t xml:space="preserve">the relevant acquirer </w:t>
      </w:r>
      <w:r w:rsidR="001F3874">
        <w:rPr>
          <w:rFonts w:ascii="Arial" w:hAnsi="Arial" w:cs="Arial"/>
        </w:rPr>
        <w:t xml:space="preserve">of the offered intangible assets </w:t>
      </w:r>
      <w:r w:rsidR="00793D34">
        <w:rPr>
          <w:rFonts w:ascii="Arial" w:hAnsi="Arial" w:cs="Arial"/>
        </w:rPr>
        <w:t>is more likely under the divestiture remedy</w:t>
      </w:r>
      <w:r w:rsidR="009807A5">
        <w:rPr>
          <w:rFonts w:ascii="Arial" w:hAnsi="Arial" w:cs="Arial"/>
        </w:rPr>
        <w:t xml:space="preserve"> (as compared to the public repository remedy)</w:t>
      </w:r>
      <w:r w:rsidR="00793D34">
        <w:rPr>
          <w:rFonts w:ascii="Arial" w:hAnsi="Arial" w:cs="Arial"/>
        </w:rPr>
        <w:t>.</w:t>
      </w:r>
    </w:p>
    <w:p w:rsidR="00BD75E4" w:rsidRPr="00BD75E4" w:rsidRDefault="004E4514" w:rsidP="00BD75E4">
      <w:pPr>
        <w:pStyle w:val="ListParagraph"/>
        <w:numPr>
          <w:ilvl w:val="0"/>
          <w:numId w:val="2"/>
        </w:numPr>
        <w:spacing w:after="240" w:line="360" w:lineRule="auto"/>
        <w:ind w:left="0" w:firstLine="0"/>
        <w:jc w:val="both"/>
        <w:rPr>
          <w:rFonts w:ascii="Arial" w:hAnsi="Arial" w:cs="Arial"/>
        </w:rPr>
      </w:pPr>
      <w:r>
        <w:rPr>
          <w:rFonts w:ascii="Arial" w:hAnsi="Arial" w:cs="Arial"/>
        </w:rPr>
        <w:t>T</w:t>
      </w:r>
      <w:r w:rsidR="00BD75E4" w:rsidRPr="00BD75E4">
        <w:rPr>
          <w:rFonts w:ascii="Arial" w:hAnsi="Arial" w:cs="Arial"/>
        </w:rPr>
        <w:t xml:space="preserve">he </w:t>
      </w:r>
      <w:r>
        <w:rPr>
          <w:rFonts w:ascii="Arial" w:hAnsi="Arial" w:cs="Arial"/>
        </w:rPr>
        <w:t xml:space="preserve">potential </w:t>
      </w:r>
      <w:r w:rsidR="00467D10">
        <w:rPr>
          <w:rFonts w:ascii="Arial" w:hAnsi="Arial" w:cs="Arial"/>
        </w:rPr>
        <w:t xml:space="preserve">and ideal </w:t>
      </w:r>
      <w:r w:rsidR="00BD75E4" w:rsidRPr="00BD75E4">
        <w:rPr>
          <w:rFonts w:ascii="Arial" w:hAnsi="Arial" w:cs="Arial"/>
        </w:rPr>
        <w:t xml:space="preserve">parameters of </w:t>
      </w:r>
      <w:r w:rsidR="00467D10">
        <w:rPr>
          <w:rFonts w:ascii="Arial" w:hAnsi="Arial" w:cs="Arial"/>
        </w:rPr>
        <w:t>the</w:t>
      </w:r>
      <w:r w:rsidR="00BD75E4" w:rsidRPr="00BD75E4">
        <w:rPr>
          <w:rFonts w:ascii="Arial" w:hAnsi="Arial" w:cs="Arial"/>
        </w:rPr>
        <w:t xml:space="preserve"> divestiture remedy</w:t>
      </w:r>
      <w:r w:rsidR="00467D10">
        <w:rPr>
          <w:rFonts w:ascii="Arial" w:hAnsi="Arial" w:cs="Arial"/>
        </w:rPr>
        <w:t>,</w:t>
      </w:r>
      <w:r w:rsidR="00BD75E4" w:rsidRPr="00BD75E4">
        <w:rPr>
          <w:rFonts w:ascii="Arial" w:hAnsi="Arial" w:cs="Arial"/>
        </w:rPr>
        <w:t xml:space="preserve"> </w:t>
      </w:r>
      <w:r w:rsidR="00BA5A0C">
        <w:rPr>
          <w:rFonts w:ascii="Arial" w:hAnsi="Arial" w:cs="Arial"/>
        </w:rPr>
        <w:t>in the context of NCS’</w:t>
      </w:r>
      <w:r>
        <w:rPr>
          <w:rFonts w:ascii="Arial" w:hAnsi="Arial" w:cs="Arial"/>
        </w:rPr>
        <w:t xml:space="preserve"> and Arkema SA’s </w:t>
      </w:r>
      <w:r w:rsidR="005C2279">
        <w:rPr>
          <w:rFonts w:ascii="Arial" w:hAnsi="Arial" w:cs="Arial"/>
        </w:rPr>
        <w:t xml:space="preserve">UPR </w:t>
      </w:r>
      <w:r>
        <w:rPr>
          <w:rFonts w:ascii="Arial" w:hAnsi="Arial" w:cs="Arial"/>
        </w:rPr>
        <w:t>operations</w:t>
      </w:r>
      <w:r w:rsidR="00467D10">
        <w:rPr>
          <w:rFonts w:ascii="Arial" w:hAnsi="Arial" w:cs="Arial"/>
        </w:rPr>
        <w:t>,</w:t>
      </w:r>
      <w:r>
        <w:rPr>
          <w:rFonts w:ascii="Arial" w:hAnsi="Arial" w:cs="Arial"/>
        </w:rPr>
        <w:t xml:space="preserve"> were</w:t>
      </w:r>
      <w:r w:rsidR="00BD75E4" w:rsidRPr="00BD75E4">
        <w:rPr>
          <w:rFonts w:ascii="Arial" w:hAnsi="Arial" w:cs="Arial"/>
        </w:rPr>
        <w:t xml:space="preserve"> explored at length during the hearing</w:t>
      </w:r>
      <w:r w:rsidR="005C2279">
        <w:rPr>
          <w:rFonts w:ascii="Arial" w:hAnsi="Arial" w:cs="Arial"/>
        </w:rPr>
        <w:t xml:space="preserve">. The Commission </w:t>
      </w:r>
      <w:r w:rsidR="005C2279" w:rsidRPr="005773BB">
        <w:rPr>
          <w:rFonts w:ascii="Arial" w:hAnsi="Arial" w:cs="Arial"/>
        </w:rPr>
        <w:t xml:space="preserve">explored </w:t>
      </w:r>
      <w:r w:rsidR="00D45ED5" w:rsidRPr="005773BB">
        <w:rPr>
          <w:rFonts w:ascii="Arial" w:hAnsi="Arial" w:cs="Arial"/>
        </w:rPr>
        <w:t>whether</w:t>
      </w:r>
      <w:r w:rsidR="005C2279" w:rsidRPr="005773BB">
        <w:rPr>
          <w:rFonts w:ascii="Arial" w:hAnsi="Arial" w:cs="Arial"/>
        </w:rPr>
        <w:t xml:space="preserve"> </w:t>
      </w:r>
      <w:r w:rsidR="00D45ED5" w:rsidRPr="005773BB">
        <w:rPr>
          <w:rFonts w:ascii="Arial" w:hAnsi="Arial" w:cs="Arial"/>
        </w:rPr>
        <w:t>the remedy could be enhanced by</w:t>
      </w:r>
      <w:r w:rsidR="00D005A0" w:rsidRPr="005773BB">
        <w:rPr>
          <w:rFonts w:ascii="Arial" w:hAnsi="Arial" w:cs="Arial"/>
        </w:rPr>
        <w:t>,</w:t>
      </w:r>
      <w:r w:rsidR="00D45ED5" w:rsidRPr="005773BB">
        <w:rPr>
          <w:rFonts w:ascii="Arial" w:hAnsi="Arial" w:cs="Arial"/>
        </w:rPr>
        <w:t xml:space="preserve"> for example</w:t>
      </w:r>
      <w:r w:rsidR="005773BB" w:rsidRPr="005773BB">
        <w:rPr>
          <w:rFonts w:ascii="Arial" w:hAnsi="Arial" w:cs="Arial"/>
        </w:rPr>
        <w:t>,</w:t>
      </w:r>
      <w:r w:rsidR="00D45ED5" w:rsidRPr="005773BB">
        <w:rPr>
          <w:rFonts w:ascii="Arial" w:hAnsi="Arial" w:cs="Arial"/>
        </w:rPr>
        <w:t xml:space="preserve"> including </w:t>
      </w:r>
      <w:r w:rsidR="00D005A0" w:rsidRPr="005773BB">
        <w:rPr>
          <w:rFonts w:ascii="Arial" w:hAnsi="Arial" w:cs="Arial"/>
        </w:rPr>
        <w:lastRenderedPageBreak/>
        <w:t xml:space="preserve">certain </w:t>
      </w:r>
      <w:r w:rsidR="00D45ED5" w:rsidRPr="005773BB">
        <w:rPr>
          <w:rFonts w:ascii="Arial" w:hAnsi="Arial" w:cs="Arial"/>
        </w:rPr>
        <w:t xml:space="preserve">physical assets (i.e. plant and equipment, including a reactor and/or blending equipment) and a licensing agreement to utilise trademarks. </w:t>
      </w:r>
      <w:r w:rsidR="008D2EB8">
        <w:rPr>
          <w:rFonts w:ascii="Arial" w:hAnsi="Arial" w:cs="Arial"/>
        </w:rPr>
        <w:t>While in theory this seemed a plausible suggestion, the question ultimately became whether doing so was practically feasible</w:t>
      </w:r>
      <w:r w:rsidR="00D45ED5" w:rsidRPr="005773BB">
        <w:rPr>
          <w:rFonts w:ascii="Arial" w:hAnsi="Arial" w:cs="Arial"/>
        </w:rPr>
        <w:t xml:space="preserve">. </w:t>
      </w:r>
      <w:r w:rsidR="005C2279" w:rsidRPr="005773BB">
        <w:rPr>
          <w:rFonts w:ascii="Arial" w:hAnsi="Arial" w:cs="Arial"/>
        </w:rPr>
        <w:t xml:space="preserve">The Commission </w:t>
      </w:r>
      <w:r w:rsidR="00DC3160" w:rsidRPr="005773BB">
        <w:rPr>
          <w:rFonts w:ascii="Arial" w:hAnsi="Arial" w:cs="Arial"/>
        </w:rPr>
        <w:t xml:space="preserve">also </w:t>
      </w:r>
      <w:r w:rsidR="005C2279" w:rsidRPr="005773BB">
        <w:rPr>
          <w:rFonts w:ascii="Arial" w:hAnsi="Arial" w:cs="Arial"/>
        </w:rPr>
        <w:t>raised a</w:t>
      </w:r>
      <w:r w:rsidR="00A126BD" w:rsidRPr="005773BB">
        <w:rPr>
          <w:rFonts w:ascii="Arial" w:hAnsi="Arial" w:cs="Arial"/>
        </w:rPr>
        <w:t xml:space="preserve"> practical </w:t>
      </w:r>
      <w:r w:rsidR="00D45ED5" w:rsidRPr="005773BB">
        <w:rPr>
          <w:rFonts w:ascii="Arial" w:hAnsi="Arial" w:cs="Arial"/>
        </w:rPr>
        <w:t>concern</w:t>
      </w:r>
      <w:r w:rsidR="005C2279" w:rsidRPr="005773BB">
        <w:rPr>
          <w:rFonts w:ascii="Arial" w:hAnsi="Arial" w:cs="Arial"/>
        </w:rPr>
        <w:t xml:space="preserve"> relating to confidentiality, i.e.</w:t>
      </w:r>
      <w:r w:rsidR="005C2279" w:rsidRPr="0059516F">
        <w:rPr>
          <w:rFonts w:ascii="Arial" w:hAnsi="Arial" w:cs="Arial"/>
        </w:rPr>
        <w:t xml:space="preserve"> t</w:t>
      </w:r>
      <w:r w:rsidR="00A126BD" w:rsidRPr="0059516F">
        <w:rPr>
          <w:rFonts w:ascii="Arial" w:hAnsi="Arial" w:cs="Arial"/>
        </w:rPr>
        <w:t xml:space="preserve">hat </w:t>
      </w:r>
      <w:r w:rsidR="005C2279" w:rsidRPr="0059516F">
        <w:rPr>
          <w:rFonts w:ascii="Arial" w:hAnsi="Arial" w:cs="Arial"/>
        </w:rPr>
        <w:t>the</w:t>
      </w:r>
      <w:r w:rsidR="00A126BD" w:rsidRPr="0059516F">
        <w:rPr>
          <w:rFonts w:ascii="Arial" w:hAnsi="Arial" w:cs="Arial"/>
        </w:rPr>
        <w:t xml:space="preserve"> </w:t>
      </w:r>
      <w:r w:rsidR="00090250" w:rsidRPr="0059516F">
        <w:rPr>
          <w:rFonts w:ascii="Arial" w:hAnsi="Arial" w:cs="Arial"/>
        </w:rPr>
        <w:t xml:space="preserve">relevant </w:t>
      </w:r>
      <w:r w:rsidR="00A126BD" w:rsidRPr="0059516F">
        <w:rPr>
          <w:rFonts w:ascii="Arial" w:hAnsi="Arial" w:cs="Arial"/>
        </w:rPr>
        <w:t xml:space="preserve">acquirer of the </w:t>
      </w:r>
      <w:r w:rsidR="0066252B" w:rsidRPr="0059516F">
        <w:rPr>
          <w:rFonts w:ascii="Arial" w:hAnsi="Arial" w:cs="Arial"/>
        </w:rPr>
        <w:t xml:space="preserve">product </w:t>
      </w:r>
      <w:r w:rsidR="00A126BD" w:rsidRPr="0059516F">
        <w:rPr>
          <w:rFonts w:ascii="Arial" w:hAnsi="Arial" w:cs="Arial"/>
        </w:rPr>
        <w:t>formulations and customer information</w:t>
      </w:r>
      <w:r w:rsidR="005C2279" w:rsidRPr="0059516F">
        <w:rPr>
          <w:rFonts w:ascii="Arial" w:hAnsi="Arial" w:cs="Arial"/>
        </w:rPr>
        <w:t xml:space="preserve"> in terms of the propo</w:t>
      </w:r>
      <w:r w:rsidR="005C2279" w:rsidRPr="00D005A0">
        <w:rPr>
          <w:rFonts w:ascii="Arial" w:hAnsi="Arial" w:cs="Arial"/>
        </w:rPr>
        <w:t>sed remedy</w:t>
      </w:r>
      <w:r w:rsidR="00A126BD" w:rsidRPr="00D005A0">
        <w:rPr>
          <w:rFonts w:ascii="Arial" w:hAnsi="Arial" w:cs="Arial"/>
        </w:rPr>
        <w:t>, who then concludes a toll manufacturing agreement with NCS</w:t>
      </w:r>
      <w:r w:rsidR="00472A91" w:rsidRPr="00D005A0">
        <w:rPr>
          <w:rFonts w:ascii="Arial" w:hAnsi="Arial" w:cs="Arial"/>
        </w:rPr>
        <w:t xml:space="preserve"> would be at a competitive disadvantage as it would have to divulge competitively sensitive information </w:t>
      </w:r>
      <w:r w:rsidR="003604E4" w:rsidRPr="00D005A0">
        <w:rPr>
          <w:rFonts w:ascii="Arial" w:hAnsi="Arial" w:cs="Arial"/>
        </w:rPr>
        <w:t xml:space="preserve">to </w:t>
      </w:r>
      <w:r w:rsidR="00D45ED5" w:rsidRPr="00D005A0">
        <w:rPr>
          <w:rFonts w:ascii="Arial" w:hAnsi="Arial" w:cs="Arial"/>
        </w:rPr>
        <w:t>NCS, its competitor</w:t>
      </w:r>
      <w:r w:rsidR="003604E4" w:rsidRPr="00D005A0">
        <w:rPr>
          <w:rFonts w:ascii="Arial" w:hAnsi="Arial" w:cs="Arial"/>
        </w:rPr>
        <w:t>. Thus, the relevant acquirer’s</w:t>
      </w:r>
      <w:r w:rsidR="00472A91" w:rsidRPr="00D005A0">
        <w:rPr>
          <w:rFonts w:ascii="Arial" w:hAnsi="Arial" w:cs="Arial"/>
        </w:rPr>
        <w:t xml:space="preserve"> </w:t>
      </w:r>
      <w:r w:rsidR="00A126BD" w:rsidRPr="00D005A0">
        <w:rPr>
          <w:rFonts w:ascii="Arial" w:hAnsi="Arial" w:cs="Arial"/>
        </w:rPr>
        <w:t xml:space="preserve">confidential information </w:t>
      </w:r>
      <w:r w:rsidR="00472A91" w:rsidRPr="00D005A0">
        <w:rPr>
          <w:rFonts w:ascii="Arial" w:hAnsi="Arial" w:cs="Arial"/>
        </w:rPr>
        <w:t xml:space="preserve">would have to be </w:t>
      </w:r>
      <w:r w:rsidR="00A126BD" w:rsidRPr="00D005A0">
        <w:rPr>
          <w:rFonts w:ascii="Arial" w:hAnsi="Arial" w:cs="Arial"/>
        </w:rPr>
        <w:t>protected from NCS.</w:t>
      </w:r>
    </w:p>
    <w:p w:rsidR="00BD75E4" w:rsidRDefault="00BD75E4" w:rsidP="00BD75E4">
      <w:pPr>
        <w:pStyle w:val="ListParagraph"/>
        <w:numPr>
          <w:ilvl w:val="0"/>
          <w:numId w:val="2"/>
        </w:numPr>
        <w:spacing w:after="240" w:line="360" w:lineRule="auto"/>
        <w:ind w:left="0" w:firstLine="0"/>
        <w:jc w:val="both"/>
        <w:rPr>
          <w:rFonts w:ascii="Arial" w:hAnsi="Arial" w:cs="Arial"/>
        </w:rPr>
      </w:pPr>
      <w:r>
        <w:rPr>
          <w:rFonts w:ascii="Arial" w:hAnsi="Arial" w:cs="Arial"/>
        </w:rPr>
        <w:t>With regards to the</w:t>
      </w:r>
      <w:r w:rsidR="008D2EB8">
        <w:rPr>
          <w:rFonts w:ascii="Arial" w:hAnsi="Arial" w:cs="Arial"/>
        </w:rPr>
        <w:t xml:space="preserve"> abovementioned</w:t>
      </w:r>
      <w:r>
        <w:rPr>
          <w:rFonts w:ascii="Arial" w:hAnsi="Arial" w:cs="Arial"/>
        </w:rPr>
        <w:t xml:space="preserve"> potential transfer of physical assets</w:t>
      </w:r>
      <w:r w:rsidR="008D2EB8">
        <w:rPr>
          <w:rFonts w:ascii="Arial" w:hAnsi="Arial" w:cs="Arial"/>
        </w:rPr>
        <w:t>,</w:t>
      </w:r>
      <w:r>
        <w:rPr>
          <w:rFonts w:ascii="Arial" w:hAnsi="Arial" w:cs="Arial"/>
        </w:rPr>
        <w:t xml:space="preserve"> the </w:t>
      </w:r>
      <w:r w:rsidRPr="00BA3301">
        <w:rPr>
          <w:rFonts w:ascii="Arial" w:hAnsi="Arial" w:cs="Arial"/>
        </w:rPr>
        <w:t xml:space="preserve">Commission ultimately accepted that the evidence </w:t>
      </w:r>
      <w:r w:rsidR="008D2EB8">
        <w:rPr>
          <w:rFonts w:ascii="Arial" w:hAnsi="Arial" w:cs="Arial"/>
        </w:rPr>
        <w:t>depicted</w:t>
      </w:r>
      <w:r w:rsidRPr="00BA3301">
        <w:rPr>
          <w:rFonts w:ascii="Arial" w:hAnsi="Arial" w:cs="Arial"/>
        </w:rPr>
        <w:t xml:space="preserve"> that it is not practical to sever the plant and equipment utilised for the manufacture of UPR from the plant and equipment used to manufacture coatings resin at Arkema</w:t>
      </w:r>
      <w:r w:rsidR="007758C2">
        <w:rPr>
          <w:rFonts w:ascii="Arial" w:hAnsi="Arial" w:cs="Arial"/>
        </w:rPr>
        <w:t xml:space="preserve"> SA</w:t>
      </w:r>
      <w:r w:rsidRPr="00BA3301">
        <w:rPr>
          <w:rFonts w:ascii="Arial" w:hAnsi="Arial" w:cs="Arial"/>
        </w:rPr>
        <w:t xml:space="preserve">’s factory at Isipingo. </w:t>
      </w:r>
      <w:r w:rsidRPr="005D18D9">
        <w:rPr>
          <w:rFonts w:ascii="Arial" w:hAnsi="Arial" w:cs="Arial"/>
        </w:rPr>
        <w:t>Leveugle</w:t>
      </w:r>
      <w:r w:rsidR="000F7D1C">
        <w:rPr>
          <w:rFonts w:ascii="Arial" w:hAnsi="Arial" w:cs="Arial"/>
        </w:rPr>
        <w:t>’s</w:t>
      </w:r>
      <w:r w:rsidRPr="005D18D9">
        <w:rPr>
          <w:rFonts w:ascii="Arial" w:hAnsi="Arial" w:cs="Arial"/>
        </w:rPr>
        <w:t xml:space="preserve"> </w:t>
      </w:r>
      <w:r>
        <w:rPr>
          <w:rFonts w:ascii="Arial" w:hAnsi="Arial" w:cs="Arial"/>
        </w:rPr>
        <w:t>evidence was that i</w:t>
      </w:r>
      <w:r w:rsidRPr="005D18D9">
        <w:rPr>
          <w:rFonts w:ascii="Arial" w:hAnsi="Arial" w:cs="Arial"/>
        </w:rPr>
        <w:t>t is structurally impossible to separate the assets of Arkema SA’s coatings and composites division</w:t>
      </w:r>
      <w:r w:rsidR="004E4514">
        <w:rPr>
          <w:rFonts w:ascii="Arial" w:hAnsi="Arial" w:cs="Arial"/>
        </w:rPr>
        <w:t xml:space="preserve"> and we have no </w:t>
      </w:r>
      <w:r w:rsidR="00472A91">
        <w:rPr>
          <w:rFonts w:ascii="Arial" w:hAnsi="Arial" w:cs="Arial"/>
        </w:rPr>
        <w:t>evidence to the contrary</w:t>
      </w:r>
      <w:r w:rsidRPr="005D18D9">
        <w:rPr>
          <w:rFonts w:ascii="Arial" w:hAnsi="Arial" w:cs="Arial"/>
        </w:rPr>
        <w:t>.</w:t>
      </w:r>
      <w:r>
        <w:rPr>
          <w:rStyle w:val="FootnoteReference"/>
          <w:rFonts w:ascii="Arial" w:hAnsi="Arial" w:cs="Arial"/>
        </w:rPr>
        <w:footnoteReference w:id="139"/>
      </w:r>
    </w:p>
    <w:p w:rsidR="001263D0" w:rsidRPr="000B10B0" w:rsidRDefault="00033FB0" w:rsidP="000B10B0">
      <w:pPr>
        <w:pStyle w:val="ListParagraph"/>
        <w:numPr>
          <w:ilvl w:val="0"/>
          <w:numId w:val="2"/>
        </w:numPr>
        <w:spacing w:after="240" w:line="360" w:lineRule="auto"/>
        <w:ind w:left="0" w:firstLine="0"/>
        <w:jc w:val="both"/>
        <w:rPr>
          <w:rFonts w:ascii="Arial" w:hAnsi="Arial" w:cs="Arial"/>
        </w:rPr>
      </w:pPr>
      <w:r w:rsidRPr="000B10B0">
        <w:rPr>
          <w:rFonts w:ascii="Arial" w:hAnsi="Arial" w:cs="Arial"/>
        </w:rPr>
        <w:t xml:space="preserve">With regards to a licensing agreement, the evidence indicated that Arkema SA had acquired a licence from </w:t>
      </w:r>
      <w:r w:rsidRPr="008D2EB8">
        <w:rPr>
          <w:rFonts w:ascii="Arial" w:hAnsi="Arial" w:cs="Arial"/>
          <w:i/>
        </w:rPr>
        <w:t>inter alia</w:t>
      </w:r>
      <w:r w:rsidRPr="000B10B0">
        <w:rPr>
          <w:rFonts w:ascii="Arial" w:hAnsi="Arial" w:cs="Arial"/>
        </w:rPr>
        <w:t xml:space="preserve"> </w:t>
      </w:r>
      <w:r w:rsidR="00E9613C">
        <w:rPr>
          <w:rFonts w:ascii="Arial" w:hAnsi="Arial" w:cs="Arial"/>
        </w:rPr>
        <w:t>[...]</w:t>
      </w:r>
      <w:r w:rsidRPr="000B10B0">
        <w:rPr>
          <w:rFonts w:ascii="Arial" w:hAnsi="Arial" w:cs="Arial"/>
        </w:rPr>
        <w:t xml:space="preserve">, to utilise </w:t>
      </w:r>
      <w:r w:rsidR="00E9613C">
        <w:rPr>
          <w:rFonts w:ascii="Arial" w:hAnsi="Arial" w:cs="Arial"/>
        </w:rPr>
        <w:t>[...]</w:t>
      </w:r>
      <w:r w:rsidRPr="000B10B0">
        <w:rPr>
          <w:rFonts w:ascii="Arial" w:hAnsi="Arial" w:cs="Arial"/>
        </w:rPr>
        <w:t>,</w:t>
      </w:r>
      <w:r w:rsidR="000B10B0">
        <w:rPr>
          <w:rStyle w:val="FootnoteReference"/>
          <w:rFonts w:ascii="Arial" w:hAnsi="Arial" w:cs="Arial"/>
        </w:rPr>
        <w:footnoteReference w:id="140"/>
      </w:r>
      <w:r w:rsidRPr="000B10B0">
        <w:rPr>
          <w:rFonts w:ascii="Arial" w:hAnsi="Arial" w:cs="Arial"/>
        </w:rPr>
        <w:t xml:space="preserve"> but that these pertain only to coatings products and not to UPRs</w:t>
      </w:r>
      <w:r w:rsidR="003C5989" w:rsidRPr="000B10B0">
        <w:rPr>
          <w:rFonts w:ascii="Arial" w:hAnsi="Arial" w:cs="Arial"/>
        </w:rPr>
        <w:t>.</w:t>
      </w:r>
      <w:r w:rsidR="00472A91" w:rsidRPr="000B10B0">
        <w:rPr>
          <w:rFonts w:ascii="Arial" w:hAnsi="Arial" w:cs="Arial"/>
        </w:rPr>
        <w:t xml:space="preserve"> </w:t>
      </w:r>
    </w:p>
    <w:p w:rsidR="001263D0" w:rsidRPr="008279F7" w:rsidRDefault="008D2EB8" w:rsidP="000B10B0">
      <w:pPr>
        <w:pStyle w:val="ListParagraph"/>
        <w:numPr>
          <w:ilvl w:val="0"/>
          <w:numId w:val="2"/>
        </w:numPr>
        <w:spacing w:after="240" w:line="360" w:lineRule="auto"/>
        <w:ind w:left="0" w:firstLine="0"/>
        <w:jc w:val="both"/>
        <w:rPr>
          <w:rFonts w:ascii="Arial" w:hAnsi="Arial" w:cs="Arial"/>
        </w:rPr>
      </w:pPr>
      <w:r>
        <w:rPr>
          <w:rFonts w:ascii="Arial" w:hAnsi="Arial" w:cs="Arial"/>
        </w:rPr>
        <w:t>In regard to the composites</w:t>
      </w:r>
      <w:r w:rsidR="001263D0" w:rsidRPr="008279F7">
        <w:rPr>
          <w:rFonts w:ascii="Arial" w:hAnsi="Arial" w:cs="Arial"/>
        </w:rPr>
        <w:t xml:space="preserve"> products the position is different. </w:t>
      </w:r>
      <w:r w:rsidR="00033FB0" w:rsidRPr="008279F7">
        <w:rPr>
          <w:rFonts w:ascii="Arial" w:hAnsi="Arial" w:cs="Arial"/>
        </w:rPr>
        <w:t>Leveugle explained the history as to how and why the licensor of UPR products is an entity known as “CCP”, which was a Total subsidiary, and which was the result of combining the businesses of Cray Valley and Cook Composites and Polymers.</w:t>
      </w:r>
      <w:r w:rsidR="000B10B0" w:rsidRPr="008279F7">
        <w:rPr>
          <w:rStyle w:val="FootnoteReference"/>
          <w:rFonts w:ascii="Arial" w:hAnsi="Arial" w:cs="Arial"/>
        </w:rPr>
        <w:footnoteReference w:id="141"/>
      </w:r>
      <w:r w:rsidR="001263D0" w:rsidRPr="008279F7">
        <w:rPr>
          <w:rFonts w:ascii="Arial" w:hAnsi="Arial" w:cs="Arial"/>
        </w:rPr>
        <w:t xml:space="preserve"> </w:t>
      </w:r>
      <w:r w:rsidR="00033FB0" w:rsidRPr="008279F7">
        <w:rPr>
          <w:rFonts w:ascii="Arial" w:hAnsi="Arial" w:cs="Arial"/>
        </w:rPr>
        <w:t xml:space="preserve">The evidence </w:t>
      </w:r>
      <w:r w:rsidR="001263D0" w:rsidRPr="008279F7">
        <w:rPr>
          <w:rFonts w:ascii="Arial" w:hAnsi="Arial" w:cs="Arial"/>
        </w:rPr>
        <w:t>wa</w:t>
      </w:r>
      <w:r w:rsidR="00033FB0" w:rsidRPr="008279F7">
        <w:rPr>
          <w:rFonts w:ascii="Arial" w:hAnsi="Arial" w:cs="Arial"/>
        </w:rPr>
        <w:t xml:space="preserve">s that Total has disposed of CCP and that, with effect from June 2014, it has a new owner. </w:t>
      </w:r>
      <w:r w:rsidR="00E9613C">
        <w:rPr>
          <w:rFonts w:ascii="Arial" w:hAnsi="Arial" w:cs="Arial"/>
        </w:rPr>
        <w:t>[...]</w:t>
      </w:r>
      <w:r w:rsidR="000B10B0" w:rsidRPr="008279F7">
        <w:rPr>
          <w:rFonts w:ascii="Arial" w:hAnsi="Arial" w:cs="Arial"/>
        </w:rPr>
        <w:t xml:space="preserve"> is </w:t>
      </w:r>
      <w:r w:rsidR="00033FB0" w:rsidRPr="008279F7">
        <w:rPr>
          <w:rFonts w:ascii="Arial" w:hAnsi="Arial" w:cs="Arial"/>
        </w:rPr>
        <w:t xml:space="preserve">the licensor of the UPR products and owner of </w:t>
      </w:r>
      <w:r w:rsidR="000B10B0" w:rsidRPr="008279F7">
        <w:rPr>
          <w:rFonts w:ascii="Arial" w:hAnsi="Arial" w:cs="Arial"/>
        </w:rPr>
        <w:t xml:space="preserve">the </w:t>
      </w:r>
      <w:r w:rsidR="00033FB0" w:rsidRPr="008279F7">
        <w:rPr>
          <w:rFonts w:ascii="Arial" w:hAnsi="Arial" w:cs="Arial"/>
        </w:rPr>
        <w:t xml:space="preserve">technological know-how. </w:t>
      </w:r>
      <w:r w:rsidR="000B10B0" w:rsidRPr="008279F7">
        <w:rPr>
          <w:rFonts w:ascii="Arial" w:hAnsi="Arial" w:cs="Arial"/>
        </w:rPr>
        <w:t>T</w:t>
      </w:r>
      <w:r w:rsidR="00033FB0" w:rsidRPr="008279F7">
        <w:rPr>
          <w:rFonts w:ascii="Arial" w:hAnsi="Arial" w:cs="Arial"/>
        </w:rPr>
        <w:t xml:space="preserve">he licence </w:t>
      </w:r>
      <w:r w:rsidR="000B10B0" w:rsidRPr="008279F7">
        <w:rPr>
          <w:rFonts w:ascii="Arial" w:hAnsi="Arial" w:cs="Arial"/>
        </w:rPr>
        <w:t>is</w:t>
      </w:r>
      <w:r w:rsidR="00033FB0" w:rsidRPr="008279F7">
        <w:rPr>
          <w:rFonts w:ascii="Arial" w:hAnsi="Arial" w:cs="Arial"/>
        </w:rPr>
        <w:t xml:space="preserve"> </w:t>
      </w:r>
      <w:r w:rsidR="00E9613C">
        <w:rPr>
          <w:rFonts w:ascii="Arial" w:hAnsi="Arial" w:cs="Arial"/>
        </w:rPr>
        <w:t>therefore [...]</w:t>
      </w:r>
      <w:r w:rsidR="00033FB0" w:rsidRPr="008279F7">
        <w:rPr>
          <w:rFonts w:ascii="Arial" w:hAnsi="Arial" w:cs="Arial"/>
        </w:rPr>
        <w:t>.</w:t>
      </w:r>
      <w:r w:rsidR="000B10B0" w:rsidRPr="008279F7">
        <w:rPr>
          <w:rStyle w:val="FootnoteReference"/>
          <w:rFonts w:ascii="Arial" w:hAnsi="Arial" w:cs="Arial"/>
        </w:rPr>
        <w:footnoteReference w:id="142"/>
      </w:r>
      <w:r w:rsidR="000B10B0" w:rsidRPr="008279F7">
        <w:rPr>
          <w:rFonts w:ascii="Arial" w:hAnsi="Arial" w:cs="Arial"/>
        </w:rPr>
        <w:t xml:space="preserve"> </w:t>
      </w:r>
      <w:r w:rsidR="001263D0" w:rsidRPr="008279F7">
        <w:rPr>
          <w:rFonts w:ascii="Arial" w:hAnsi="Arial" w:cs="Arial"/>
        </w:rPr>
        <w:t xml:space="preserve">There </w:t>
      </w:r>
      <w:r w:rsidR="000B10B0" w:rsidRPr="008279F7">
        <w:rPr>
          <w:rFonts w:ascii="Arial" w:hAnsi="Arial" w:cs="Arial"/>
        </w:rPr>
        <w:t>wa</w:t>
      </w:r>
      <w:r w:rsidR="001263D0" w:rsidRPr="008279F7">
        <w:rPr>
          <w:rFonts w:ascii="Arial" w:hAnsi="Arial" w:cs="Arial"/>
        </w:rPr>
        <w:t xml:space="preserve">s no evidence to suggest that the licence is available for transfer.    </w:t>
      </w:r>
    </w:p>
    <w:p w:rsidR="00BD75E4" w:rsidRPr="00E95C2C" w:rsidRDefault="00A9296B" w:rsidP="00BD75E4">
      <w:pPr>
        <w:pStyle w:val="ListParagraph"/>
        <w:numPr>
          <w:ilvl w:val="0"/>
          <w:numId w:val="2"/>
        </w:numPr>
        <w:spacing w:after="240" w:line="360" w:lineRule="auto"/>
        <w:ind w:left="0" w:firstLine="0"/>
        <w:jc w:val="both"/>
        <w:rPr>
          <w:rFonts w:ascii="Arial" w:hAnsi="Arial" w:cs="Arial"/>
        </w:rPr>
      </w:pPr>
      <w:r>
        <w:rPr>
          <w:rFonts w:ascii="Arial" w:hAnsi="Arial" w:cs="Arial"/>
        </w:rPr>
        <w:lastRenderedPageBreak/>
        <w:t xml:space="preserve"> </w:t>
      </w:r>
      <w:r w:rsidR="00BD75E4" w:rsidRPr="007F4FB7">
        <w:rPr>
          <w:rFonts w:ascii="Arial" w:hAnsi="Arial" w:cs="Arial"/>
        </w:rPr>
        <w:t xml:space="preserve">  </w:t>
      </w:r>
      <w:r w:rsidR="00BD75E4">
        <w:rPr>
          <w:rFonts w:ascii="Arial" w:hAnsi="Arial" w:cs="Arial"/>
        </w:rPr>
        <w:t>However</w:t>
      </w:r>
      <w:r w:rsidR="008F048F">
        <w:rPr>
          <w:rFonts w:ascii="Arial" w:hAnsi="Arial" w:cs="Arial"/>
        </w:rPr>
        <w:t>,</w:t>
      </w:r>
      <w:r w:rsidR="00BD75E4">
        <w:rPr>
          <w:rFonts w:ascii="Arial" w:hAnsi="Arial" w:cs="Arial"/>
        </w:rPr>
        <w:t xml:space="preserve"> as stated above</w:t>
      </w:r>
      <w:r w:rsidR="008F048F">
        <w:rPr>
          <w:rFonts w:ascii="Arial" w:hAnsi="Arial" w:cs="Arial"/>
        </w:rPr>
        <w:t>,</w:t>
      </w:r>
      <w:r w:rsidR="00BD75E4">
        <w:rPr>
          <w:rFonts w:ascii="Arial" w:hAnsi="Arial" w:cs="Arial"/>
        </w:rPr>
        <w:t xml:space="preserve"> t</w:t>
      </w:r>
      <w:r w:rsidR="00BD75E4" w:rsidRPr="00E95C2C">
        <w:rPr>
          <w:rFonts w:ascii="Arial" w:hAnsi="Arial" w:cs="Arial"/>
        </w:rPr>
        <w:t xml:space="preserve">he </w:t>
      </w:r>
      <w:r w:rsidR="00BD75E4">
        <w:rPr>
          <w:rFonts w:ascii="Arial" w:hAnsi="Arial" w:cs="Arial"/>
        </w:rPr>
        <w:t xml:space="preserve">proposed (and imposed) </w:t>
      </w:r>
      <w:r w:rsidR="00BD75E4" w:rsidRPr="00E95C2C">
        <w:rPr>
          <w:rFonts w:ascii="Arial" w:hAnsi="Arial" w:cs="Arial"/>
        </w:rPr>
        <w:t xml:space="preserve">remedy </w:t>
      </w:r>
      <w:r w:rsidR="00BD75E4">
        <w:rPr>
          <w:rFonts w:ascii="Arial" w:hAnsi="Arial" w:cs="Arial"/>
        </w:rPr>
        <w:t xml:space="preserve">gives </w:t>
      </w:r>
      <w:r w:rsidR="00BD75E4" w:rsidRPr="00A44AD3">
        <w:rPr>
          <w:rFonts w:ascii="Arial" w:hAnsi="Arial" w:cs="Arial"/>
        </w:rPr>
        <w:t>the relevant acquirer</w:t>
      </w:r>
      <w:r w:rsidR="00365595">
        <w:rPr>
          <w:rFonts w:ascii="Arial" w:hAnsi="Arial" w:cs="Arial"/>
        </w:rPr>
        <w:t xml:space="preserve"> thereof</w:t>
      </w:r>
      <w:r w:rsidR="00BD75E4" w:rsidRPr="00A44AD3">
        <w:rPr>
          <w:rFonts w:ascii="Arial" w:hAnsi="Arial" w:cs="Arial"/>
        </w:rPr>
        <w:t xml:space="preserve"> </w:t>
      </w:r>
      <w:r w:rsidR="00BD75E4">
        <w:rPr>
          <w:rFonts w:ascii="Arial" w:hAnsi="Arial" w:cs="Arial"/>
        </w:rPr>
        <w:t xml:space="preserve">the ability </w:t>
      </w:r>
      <w:r w:rsidR="00BD75E4" w:rsidRPr="00E95C2C">
        <w:rPr>
          <w:rFonts w:ascii="Arial" w:hAnsi="Arial" w:cs="Arial"/>
        </w:rPr>
        <w:t xml:space="preserve">to utilise the Arkema </w:t>
      </w:r>
      <w:r w:rsidR="007758C2">
        <w:rPr>
          <w:rFonts w:ascii="Arial" w:hAnsi="Arial" w:cs="Arial"/>
        </w:rPr>
        <w:t xml:space="preserve">SA </w:t>
      </w:r>
      <w:r w:rsidR="00BD75E4" w:rsidRPr="00E95C2C">
        <w:rPr>
          <w:rFonts w:ascii="Arial" w:hAnsi="Arial" w:cs="Arial"/>
        </w:rPr>
        <w:t>name by stating that the products were “</w:t>
      </w:r>
      <w:r w:rsidR="00BD75E4" w:rsidRPr="008F048F">
        <w:rPr>
          <w:rFonts w:ascii="Arial" w:hAnsi="Arial" w:cs="Arial"/>
          <w:i/>
        </w:rPr>
        <w:t>formerly made by Arkema Resins SA (Pty) Ltd</w:t>
      </w:r>
      <w:r w:rsidR="00BD75E4" w:rsidRPr="00E95C2C">
        <w:rPr>
          <w:rFonts w:ascii="Arial" w:hAnsi="Arial" w:cs="Arial"/>
        </w:rPr>
        <w:t>”.</w:t>
      </w:r>
      <w:r w:rsidR="00BD75E4">
        <w:rPr>
          <w:rFonts w:ascii="Arial" w:hAnsi="Arial" w:cs="Arial"/>
        </w:rPr>
        <w:t xml:space="preserve"> </w:t>
      </w:r>
      <w:r w:rsidR="007758C2">
        <w:rPr>
          <w:rFonts w:ascii="Arial" w:hAnsi="Arial" w:cs="Arial"/>
        </w:rPr>
        <w:t xml:space="preserve">The merging </w:t>
      </w:r>
      <w:r w:rsidR="007758C2" w:rsidRPr="00E95C2C">
        <w:rPr>
          <w:rFonts w:ascii="Arial" w:hAnsi="Arial" w:cs="Arial"/>
        </w:rPr>
        <w:t xml:space="preserve">parties </w:t>
      </w:r>
      <w:r w:rsidR="00BD75E4">
        <w:rPr>
          <w:rFonts w:ascii="Arial" w:hAnsi="Arial" w:cs="Arial"/>
        </w:rPr>
        <w:t xml:space="preserve">initially offered </w:t>
      </w:r>
      <w:r w:rsidR="007758C2">
        <w:rPr>
          <w:rFonts w:ascii="Arial" w:hAnsi="Arial" w:cs="Arial"/>
        </w:rPr>
        <w:t xml:space="preserve">this </w:t>
      </w:r>
      <w:r w:rsidR="00BD75E4">
        <w:rPr>
          <w:rFonts w:ascii="Arial" w:hAnsi="Arial" w:cs="Arial"/>
        </w:rPr>
        <w:t>for a period of only one</w:t>
      </w:r>
      <w:r w:rsidR="00BD75E4" w:rsidRPr="00E95C2C">
        <w:rPr>
          <w:rFonts w:ascii="Arial" w:hAnsi="Arial" w:cs="Arial"/>
        </w:rPr>
        <w:t xml:space="preserve"> year, </w:t>
      </w:r>
      <w:r w:rsidR="00BD75E4">
        <w:rPr>
          <w:rFonts w:ascii="Arial" w:hAnsi="Arial" w:cs="Arial"/>
        </w:rPr>
        <w:t xml:space="preserve">but </w:t>
      </w:r>
      <w:r w:rsidR="007758C2">
        <w:rPr>
          <w:rFonts w:ascii="Arial" w:hAnsi="Arial" w:cs="Arial"/>
        </w:rPr>
        <w:t xml:space="preserve">after concerns were raised in this regard, they </w:t>
      </w:r>
      <w:r w:rsidR="00BD75E4">
        <w:rPr>
          <w:rFonts w:ascii="Arial" w:hAnsi="Arial" w:cs="Arial"/>
        </w:rPr>
        <w:t xml:space="preserve">later extended </w:t>
      </w:r>
      <w:r w:rsidR="007758C2">
        <w:rPr>
          <w:rFonts w:ascii="Arial" w:hAnsi="Arial" w:cs="Arial"/>
        </w:rPr>
        <w:t xml:space="preserve">it </w:t>
      </w:r>
      <w:r w:rsidR="00BD75E4">
        <w:rPr>
          <w:rFonts w:ascii="Arial" w:hAnsi="Arial" w:cs="Arial"/>
        </w:rPr>
        <w:t>to [...] years</w:t>
      </w:r>
      <w:r w:rsidR="00BD75E4" w:rsidRPr="00E95C2C">
        <w:rPr>
          <w:rFonts w:ascii="Arial" w:hAnsi="Arial" w:cs="Arial"/>
        </w:rPr>
        <w:t xml:space="preserve">.  </w:t>
      </w:r>
    </w:p>
    <w:p w:rsidR="008F048F" w:rsidRDefault="00793D34" w:rsidP="0080582B">
      <w:pPr>
        <w:pStyle w:val="ListParagraph"/>
        <w:numPr>
          <w:ilvl w:val="0"/>
          <w:numId w:val="2"/>
        </w:numPr>
        <w:spacing w:after="240" w:line="360" w:lineRule="auto"/>
        <w:ind w:left="0" w:firstLine="0"/>
        <w:jc w:val="both"/>
        <w:rPr>
          <w:rFonts w:ascii="Arial" w:hAnsi="Arial" w:cs="Arial"/>
        </w:rPr>
      </w:pPr>
      <w:r>
        <w:rPr>
          <w:rFonts w:ascii="Arial" w:hAnsi="Arial" w:cs="Arial"/>
        </w:rPr>
        <w:t>As indicated above, t</w:t>
      </w:r>
      <w:r w:rsidRPr="00715148">
        <w:rPr>
          <w:rFonts w:ascii="Arial" w:hAnsi="Arial" w:cs="Arial"/>
        </w:rPr>
        <w:t xml:space="preserve">he </w:t>
      </w:r>
      <w:r>
        <w:rPr>
          <w:rFonts w:ascii="Arial" w:hAnsi="Arial" w:cs="Arial"/>
        </w:rPr>
        <w:t xml:space="preserve">proposed </w:t>
      </w:r>
      <w:r w:rsidR="00BD75E4">
        <w:rPr>
          <w:rFonts w:ascii="Arial" w:hAnsi="Arial" w:cs="Arial"/>
        </w:rPr>
        <w:t>(</w:t>
      </w:r>
      <w:r>
        <w:rPr>
          <w:rFonts w:ascii="Arial" w:hAnsi="Arial" w:cs="Arial"/>
        </w:rPr>
        <w:t>and imposed</w:t>
      </w:r>
      <w:r w:rsidR="00BD75E4">
        <w:rPr>
          <w:rFonts w:ascii="Arial" w:hAnsi="Arial" w:cs="Arial"/>
        </w:rPr>
        <w:t>)</w:t>
      </w:r>
      <w:r>
        <w:rPr>
          <w:rFonts w:ascii="Arial" w:hAnsi="Arial" w:cs="Arial"/>
        </w:rPr>
        <w:t xml:space="preserve"> </w:t>
      </w:r>
      <w:r w:rsidRPr="00715148">
        <w:rPr>
          <w:rFonts w:ascii="Arial" w:hAnsi="Arial" w:cs="Arial"/>
        </w:rPr>
        <w:t xml:space="preserve">divesture remedy </w:t>
      </w:r>
      <w:r w:rsidR="00090250">
        <w:rPr>
          <w:rFonts w:ascii="Arial" w:hAnsi="Arial" w:cs="Arial"/>
        </w:rPr>
        <w:t xml:space="preserve">also </w:t>
      </w:r>
      <w:r w:rsidRPr="00715148">
        <w:rPr>
          <w:rFonts w:ascii="Arial" w:hAnsi="Arial" w:cs="Arial"/>
        </w:rPr>
        <w:t>include</w:t>
      </w:r>
      <w:r>
        <w:rPr>
          <w:rFonts w:ascii="Arial" w:hAnsi="Arial" w:cs="Arial"/>
        </w:rPr>
        <w:t>s</w:t>
      </w:r>
      <w:r w:rsidRPr="00715148">
        <w:rPr>
          <w:rFonts w:ascii="Arial" w:hAnsi="Arial" w:cs="Arial"/>
        </w:rPr>
        <w:t xml:space="preserve"> a toll manufacturing agreement </w:t>
      </w:r>
      <w:r w:rsidR="00BD75E4">
        <w:rPr>
          <w:rFonts w:ascii="Arial" w:hAnsi="Arial" w:cs="Arial"/>
        </w:rPr>
        <w:t>on</w:t>
      </w:r>
      <w:r w:rsidRPr="00715148">
        <w:rPr>
          <w:rFonts w:ascii="Arial" w:hAnsi="Arial" w:cs="Arial"/>
        </w:rPr>
        <w:t xml:space="preserve"> appropriate commercial terms</w:t>
      </w:r>
      <w:r w:rsidR="00770A2F">
        <w:rPr>
          <w:rFonts w:ascii="Arial" w:hAnsi="Arial" w:cs="Arial"/>
        </w:rPr>
        <w:t>. The rationale for such requirement is that it</w:t>
      </w:r>
      <w:r w:rsidR="008F048F">
        <w:rPr>
          <w:rFonts w:ascii="Arial" w:hAnsi="Arial" w:cs="Arial"/>
        </w:rPr>
        <w:t xml:space="preserve"> would </w:t>
      </w:r>
      <w:r w:rsidRPr="00715148">
        <w:rPr>
          <w:rFonts w:ascii="Arial" w:hAnsi="Arial" w:cs="Arial"/>
        </w:rPr>
        <w:t xml:space="preserve">allow the </w:t>
      </w:r>
      <w:r w:rsidR="008F048F" w:rsidRPr="00A44AD3">
        <w:rPr>
          <w:rFonts w:ascii="Arial" w:hAnsi="Arial" w:cs="Arial"/>
        </w:rPr>
        <w:t>relevant acquirer</w:t>
      </w:r>
      <w:r w:rsidRPr="00715148">
        <w:rPr>
          <w:rFonts w:ascii="Arial" w:hAnsi="Arial" w:cs="Arial"/>
        </w:rPr>
        <w:t xml:space="preserve"> </w:t>
      </w:r>
      <w:r>
        <w:rPr>
          <w:rFonts w:ascii="Arial" w:hAnsi="Arial" w:cs="Arial"/>
        </w:rPr>
        <w:t xml:space="preserve">time </w:t>
      </w:r>
      <w:r w:rsidR="008F048F">
        <w:rPr>
          <w:rFonts w:ascii="Arial" w:hAnsi="Arial" w:cs="Arial"/>
        </w:rPr>
        <w:t xml:space="preserve">to </w:t>
      </w:r>
      <w:r w:rsidRPr="00715148">
        <w:rPr>
          <w:rFonts w:ascii="Arial" w:hAnsi="Arial" w:cs="Arial"/>
        </w:rPr>
        <w:t xml:space="preserve">invest in </w:t>
      </w:r>
      <w:r>
        <w:rPr>
          <w:rFonts w:ascii="Arial" w:hAnsi="Arial" w:cs="Arial"/>
        </w:rPr>
        <w:t xml:space="preserve">its </w:t>
      </w:r>
      <w:r w:rsidRPr="00715148">
        <w:rPr>
          <w:rFonts w:ascii="Arial" w:hAnsi="Arial" w:cs="Arial"/>
        </w:rPr>
        <w:t xml:space="preserve">own </w:t>
      </w:r>
      <w:r w:rsidR="00090250">
        <w:rPr>
          <w:rFonts w:ascii="Arial" w:hAnsi="Arial" w:cs="Arial"/>
        </w:rPr>
        <w:t xml:space="preserve">UPR </w:t>
      </w:r>
      <w:r>
        <w:rPr>
          <w:rFonts w:ascii="Arial" w:hAnsi="Arial" w:cs="Arial"/>
        </w:rPr>
        <w:t xml:space="preserve">production and/or blending </w:t>
      </w:r>
      <w:r w:rsidRPr="00715148">
        <w:rPr>
          <w:rFonts w:ascii="Arial" w:hAnsi="Arial" w:cs="Arial"/>
        </w:rPr>
        <w:t xml:space="preserve">capacity. </w:t>
      </w:r>
    </w:p>
    <w:p w:rsidR="008F048F" w:rsidRDefault="00793D34" w:rsidP="008F048F">
      <w:pPr>
        <w:pStyle w:val="ListParagraph"/>
        <w:numPr>
          <w:ilvl w:val="0"/>
          <w:numId w:val="2"/>
        </w:numPr>
        <w:spacing w:after="240" w:line="360" w:lineRule="auto"/>
        <w:ind w:left="0" w:firstLine="0"/>
        <w:jc w:val="both"/>
        <w:rPr>
          <w:rFonts w:ascii="Arial" w:hAnsi="Arial" w:cs="Arial"/>
        </w:rPr>
      </w:pPr>
      <w:r w:rsidRPr="00715148">
        <w:rPr>
          <w:rFonts w:ascii="Arial" w:hAnsi="Arial" w:cs="Arial"/>
        </w:rPr>
        <w:t xml:space="preserve">Given </w:t>
      </w:r>
      <w:r w:rsidR="007758C2">
        <w:rPr>
          <w:rFonts w:ascii="Arial" w:hAnsi="Arial" w:cs="Arial"/>
        </w:rPr>
        <w:t xml:space="preserve">the clear evidence that </w:t>
      </w:r>
      <w:r w:rsidRPr="00715148">
        <w:rPr>
          <w:rFonts w:ascii="Arial" w:hAnsi="Arial" w:cs="Arial"/>
        </w:rPr>
        <w:t xml:space="preserve">NCS is </w:t>
      </w:r>
      <w:r>
        <w:rPr>
          <w:rFonts w:ascii="Arial" w:hAnsi="Arial" w:cs="Arial"/>
        </w:rPr>
        <w:t xml:space="preserve">currently </w:t>
      </w:r>
      <w:r w:rsidRPr="00715148">
        <w:rPr>
          <w:rFonts w:ascii="Arial" w:hAnsi="Arial" w:cs="Arial"/>
        </w:rPr>
        <w:t xml:space="preserve">operating at below capacity, in principle, there was no reason why Ferro </w:t>
      </w:r>
      <w:r>
        <w:rPr>
          <w:rFonts w:ascii="Arial" w:hAnsi="Arial" w:cs="Arial"/>
        </w:rPr>
        <w:t>c</w:t>
      </w:r>
      <w:r w:rsidRPr="00715148">
        <w:rPr>
          <w:rFonts w:ascii="Arial" w:hAnsi="Arial" w:cs="Arial"/>
        </w:rPr>
        <w:t>ould not conclude a</w:t>
      </w:r>
      <w:r w:rsidR="008F048F">
        <w:rPr>
          <w:rFonts w:ascii="Arial" w:hAnsi="Arial" w:cs="Arial"/>
        </w:rPr>
        <w:t xml:space="preserve"> tolling </w:t>
      </w:r>
      <w:r w:rsidRPr="00715148">
        <w:rPr>
          <w:rFonts w:ascii="Arial" w:hAnsi="Arial" w:cs="Arial"/>
        </w:rPr>
        <w:t>agreement</w:t>
      </w:r>
      <w:r w:rsidR="007758C2">
        <w:rPr>
          <w:rFonts w:ascii="Arial" w:hAnsi="Arial" w:cs="Arial"/>
        </w:rPr>
        <w:t xml:space="preserve"> with the relevant acquirer</w:t>
      </w:r>
      <w:r w:rsidRPr="00715148">
        <w:rPr>
          <w:rFonts w:ascii="Arial" w:hAnsi="Arial" w:cs="Arial"/>
        </w:rPr>
        <w:t xml:space="preserve">. </w:t>
      </w:r>
      <w:r w:rsidR="008F048F" w:rsidRPr="00EE0150">
        <w:rPr>
          <w:rFonts w:ascii="Arial" w:hAnsi="Arial" w:cs="Arial"/>
        </w:rPr>
        <w:t>Souchon confirmed that there would be a significant advantage to a domestic manufacturer that has excess capacity to toll-manufacture a base resin for a blender</w:t>
      </w:r>
      <w:r w:rsidR="009702E7">
        <w:rPr>
          <w:rFonts w:ascii="Arial" w:hAnsi="Arial" w:cs="Arial"/>
        </w:rPr>
        <w:t xml:space="preserve"> since it will “</w:t>
      </w:r>
      <w:r w:rsidR="009702E7" w:rsidRPr="009702E7">
        <w:rPr>
          <w:rFonts w:ascii="Arial" w:hAnsi="Arial" w:cs="Arial"/>
          <w:i/>
        </w:rPr>
        <w:t>certainly help fill the reactors and the capacity</w:t>
      </w:r>
      <w:r w:rsidR="009702E7">
        <w:rPr>
          <w:rFonts w:ascii="Arial" w:hAnsi="Arial" w:cs="Arial"/>
        </w:rPr>
        <w:t>”</w:t>
      </w:r>
      <w:r w:rsidR="008F048F" w:rsidRPr="00EE0150">
        <w:rPr>
          <w:rStyle w:val="FootnoteReference"/>
          <w:rFonts w:ascii="Arial" w:hAnsi="Arial" w:cs="Arial"/>
        </w:rPr>
        <w:footnoteReference w:id="143"/>
      </w:r>
      <w:r w:rsidR="008F048F" w:rsidRPr="00EE0150">
        <w:rPr>
          <w:rFonts w:ascii="Arial" w:hAnsi="Arial" w:cs="Arial"/>
        </w:rPr>
        <w:t xml:space="preserve"> </w:t>
      </w:r>
      <w:r w:rsidR="008F048F">
        <w:rPr>
          <w:rFonts w:ascii="Arial" w:hAnsi="Arial" w:cs="Arial"/>
        </w:rPr>
        <w:t xml:space="preserve">and </w:t>
      </w:r>
      <w:r w:rsidR="008F048F" w:rsidRPr="00EE0150">
        <w:rPr>
          <w:rFonts w:ascii="Arial" w:hAnsi="Arial" w:cs="Arial"/>
        </w:rPr>
        <w:t>confirmed that post</w:t>
      </w:r>
      <w:r w:rsidR="00A126BD">
        <w:rPr>
          <w:rFonts w:ascii="Arial" w:hAnsi="Arial" w:cs="Arial"/>
        </w:rPr>
        <w:t>-</w:t>
      </w:r>
      <w:r w:rsidR="008F048F" w:rsidRPr="00EE0150">
        <w:rPr>
          <w:rFonts w:ascii="Arial" w:hAnsi="Arial" w:cs="Arial"/>
        </w:rPr>
        <w:t xml:space="preserve">merger it would be logical to conclude that the merged entity would have excess capacity and </w:t>
      </w:r>
      <w:r w:rsidR="009702E7">
        <w:rPr>
          <w:rFonts w:ascii="Arial" w:hAnsi="Arial" w:cs="Arial"/>
        </w:rPr>
        <w:t xml:space="preserve">that </w:t>
      </w:r>
      <w:r w:rsidR="00DD5CBE">
        <w:rPr>
          <w:rFonts w:ascii="Arial" w:hAnsi="Arial" w:cs="Arial"/>
        </w:rPr>
        <w:t xml:space="preserve">to </w:t>
      </w:r>
      <w:r w:rsidR="00DD5CBE" w:rsidRPr="00EE0150">
        <w:rPr>
          <w:rFonts w:ascii="Arial" w:hAnsi="Arial" w:cs="Arial"/>
        </w:rPr>
        <w:t xml:space="preserve">enter into </w:t>
      </w:r>
      <w:r w:rsidR="00DD5CBE">
        <w:rPr>
          <w:rFonts w:ascii="Arial" w:hAnsi="Arial" w:cs="Arial"/>
        </w:rPr>
        <w:t xml:space="preserve">a </w:t>
      </w:r>
      <w:r w:rsidR="00DD5CBE" w:rsidRPr="00EE0150">
        <w:rPr>
          <w:rFonts w:ascii="Arial" w:hAnsi="Arial" w:cs="Arial"/>
        </w:rPr>
        <w:t>toll manufacturing agreement</w:t>
      </w:r>
      <w:r w:rsidR="00DD5CBE">
        <w:rPr>
          <w:rFonts w:ascii="Arial" w:hAnsi="Arial" w:cs="Arial"/>
        </w:rPr>
        <w:t xml:space="preserve"> </w:t>
      </w:r>
      <w:r w:rsidR="009702E7">
        <w:rPr>
          <w:rFonts w:ascii="Arial" w:hAnsi="Arial" w:cs="Arial"/>
        </w:rPr>
        <w:t>could be to its benefit</w:t>
      </w:r>
      <w:r w:rsidR="008F048F" w:rsidRPr="00EE0150">
        <w:rPr>
          <w:rFonts w:ascii="Arial" w:hAnsi="Arial" w:cs="Arial"/>
        </w:rPr>
        <w:t>.</w:t>
      </w:r>
      <w:r w:rsidR="008F048F" w:rsidRPr="00EE0150">
        <w:rPr>
          <w:rStyle w:val="FootnoteReference"/>
          <w:rFonts w:ascii="Arial" w:hAnsi="Arial" w:cs="Arial"/>
        </w:rPr>
        <w:footnoteReference w:id="144"/>
      </w:r>
      <w:r w:rsidR="008F048F" w:rsidRPr="00EE0150">
        <w:rPr>
          <w:rFonts w:ascii="Arial" w:hAnsi="Arial" w:cs="Arial"/>
        </w:rPr>
        <w:t xml:space="preserve"> Perrow </w:t>
      </w:r>
      <w:r w:rsidR="00A126BD">
        <w:rPr>
          <w:rFonts w:ascii="Arial" w:hAnsi="Arial" w:cs="Arial"/>
        </w:rPr>
        <w:t xml:space="preserve">also </w:t>
      </w:r>
      <w:r w:rsidR="008F048F" w:rsidRPr="00EE0150">
        <w:rPr>
          <w:rFonts w:ascii="Arial" w:hAnsi="Arial" w:cs="Arial"/>
        </w:rPr>
        <w:t xml:space="preserve">confirmed that NCS has </w:t>
      </w:r>
      <w:r w:rsidR="006C4773">
        <w:rPr>
          <w:rFonts w:ascii="Arial" w:hAnsi="Arial" w:cs="Arial"/>
        </w:rPr>
        <w:t xml:space="preserve">in the past </w:t>
      </w:r>
      <w:r w:rsidR="008F048F" w:rsidRPr="00EE0150">
        <w:rPr>
          <w:rFonts w:ascii="Arial" w:hAnsi="Arial" w:cs="Arial"/>
        </w:rPr>
        <w:t>entered into toll manufacturing arrangements with entities such as FRC and Canasia in order to displace imp</w:t>
      </w:r>
      <w:r w:rsidR="00DD5CBE">
        <w:rPr>
          <w:rFonts w:ascii="Arial" w:hAnsi="Arial" w:cs="Arial"/>
        </w:rPr>
        <w:t>orted volumes and increase NCS’</w:t>
      </w:r>
      <w:r w:rsidR="008F048F" w:rsidRPr="00EE0150">
        <w:rPr>
          <w:rFonts w:ascii="Arial" w:hAnsi="Arial" w:cs="Arial"/>
        </w:rPr>
        <w:t xml:space="preserve"> production </w:t>
      </w:r>
      <w:r w:rsidR="004F0D71">
        <w:rPr>
          <w:rFonts w:ascii="Arial" w:hAnsi="Arial" w:cs="Arial"/>
        </w:rPr>
        <w:t>volumes and thus “</w:t>
      </w:r>
      <w:r w:rsidR="004F0D71" w:rsidRPr="004F0D71">
        <w:rPr>
          <w:rFonts w:ascii="Arial" w:hAnsi="Arial" w:cs="Arial"/>
          <w:i/>
        </w:rPr>
        <w:t>mop up ... excess capacity</w:t>
      </w:r>
      <w:r w:rsidR="004F0D71">
        <w:rPr>
          <w:rFonts w:ascii="Arial" w:hAnsi="Arial" w:cs="Arial"/>
        </w:rPr>
        <w:t>”</w:t>
      </w:r>
      <w:r w:rsidR="008F048F">
        <w:rPr>
          <w:rFonts w:ascii="Arial" w:hAnsi="Arial" w:cs="Arial"/>
        </w:rPr>
        <w:t>.</w:t>
      </w:r>
      <w:r w:rsidR="008F048F">
        <w:rPr>
          <w:rStyle w:val="FootnoteReference"/>
          <w:rFonts w:ascii="Arial" w:hAnsi="Arial" w:cs="Arial"/>
        </w:rPr>
        <w:footnoteReference w:id="145"/>
      </w:r>
    </w:p>
    <w:p w:rsidR="006C4773" w:rsidRPr="006C4773" w:rsidRDefault="006C4773" w:rsidP="006C4773">
      <w:pPr>
        <w:pStyle w:val="ListParagraph"/>
        <w:numPr>
          <w:ilvl w:val="0"/>
          <w:numId w:val="2"/>
        </w:numPr>
        <w:spacing w:after="240" w:line="360" w:lineRule="auto"/>
        <w:ind w:left="0" w:firstLine="0"/>
        <w:jc w:val="both"/>
        <w:rPr>
          <w:rFonts w:ascii="Arial" w:hAnsi="Arial" w:cs="Arial"/>
        </w:rPr>
      </w:pPr>
      <w:r>
        <w:rPr>
          <w:rFonts w:ascii="Arial" w:hAnsi="Arial" w:cs="Arial"/>
        </w:rPr>
        <w:t>In terms of potential interest in the tendered divestiture</w:t>
      </w:r>
      <w:r w:rsidRPr="005217CA">
        <w:rPr>
          <w:rFonts w:ascii="Arial" w:hAnsi="Arial" w:cs="Arial"/>
        </w:rPr>
        <w:t xml:space="preserve"> </w:t>
      </w:r>
      <w:r w:rsidRPr="004B2022">
        <w:rPr>
          <w:rFonts w:ascii="Arial" w:hAnsi="Arial" w:cs="Arial"/>
        </w:rPr>
        <w:t>remedy</w:t>
      </w:r>
      <w:r>
        <w:rPr>
          <w:rFonts w:ascii="Arial" w:hAnsi="Arial" w:cs="Arial"/>
        </w:rPr>
        <w:t xml:space="preserve">, </w:t>
      </w:r>
      <w:r w:rsidR="00E9613C">
        <w:rPr>
          <w:rFonts w:ascii="Arial" w:hAnsi="Arial" w:cs="Arial"/>
        </w:rPr>
        <w:t>[...]</w:t>
      </w:r>
      <w:r w:rsidRPr="004B2022">
        <w:rPr>
          <w:rFonts w:ascii="Arial" w:hAnsi="Arial" w:cs="Arial"/>
        </w:rPr>
        <w:t xml:space="preserve"> confirmed that </w:t>
      </w:r>
      <w:r w:rsidR="00E9613C">
        <w:rPr>
          <w:rFonts w:ascii="Arial" w:hAnsi="Arial" w:cs="Arial"/>
        </w:rPr>
        <w:t>[...]</w:t>
      </w:r>
      <w:r w:rsidRPr="004B2022">
        <w:rPr>
          <w:rFonts w:ascii="Arial" w:hAnsi="Arial" w:cs="Arial"/>
        </w:rPr>
        <w:t xml:space="preserve"> would be interested in </w:t>
      </w:r>
      <w:r>
        <w:rPr>
          <w:rFonts w:ascii="Arial" w:hAnsi="Arial" w:cs="Arial"/>
        </w:rPr>
        <w:t>such</w:t>
      </w:r>
      <w:r w:rsidRPr="004B2022">
        <w:rPr>
          <w:rFonts w:ascii="Arial" w:hAnsi="Arial" w:cs="Arial"/>
        </w:rPr>
        <w:t xml:space="preserve"> divestiture.</w:t>
      </w:r>
      <w:r>
        <w:rPr>
          <w:rStyle w:val="FootnoteReference"/>
          <w:rFonts w:ascii="Arial" w:hAnsi="Arial" w:cs="Arial"/>
        </w:rPr>
        <w:footnoteReference w:id="146"/>
      </w:r>
      <w:r w:rsidRPr="004B2022">
        <w:rPr>
          <w:rFonts w:ascii="Arial" w:hAnsi="Arial" w:cs="Arial"/>
        </w:rPr>
        <w:t xml:space="preserve"> He was of the view that </w:t>
      </w:r>
      <w:r>
        <w:rPr>
          <w:rFonts w:ascii="Arial" w:hAnsi="Arial" w:cs="Arial"/>
        </w:rPr>
        <w:t xml:space="preserve">an appropriate </w:t>
      </w:r>
      <w:r w:rsidRPr="004B2022">
        <w:rPr>
          <w:rFonts w:ascii="Arial" w:hAnsi="Arial" w:cs="Arial"/>
        </w:rPr>
        <w:t>divestiture remedy package “</w:t>
      </w:r>
      <w:r w:rsidRPr="004B2022">
        <w:rPr>
          <w:rFonts w:ascii="Arial" w:hAnsi="Arial" w:cs="Arial"/>
          <w:i/>
        </w:rPr>
        <w:t xml:space="preserve">would make us probably pretty competitive in the market, plus there would </w:t>
      </w:r>
      <w:r>
        <w:rPr>
          <w:rFonts w:ascii="Arial" w:hAnsi="Arial" w:cs="Arial"/>
          <w:i/>
        </w:rPr>
        <w:t xml:space="preserve">[be] </w:t>
      </w:r>
      <w:r w:rsidRPr="004B2022">
        <w:rPr>
          <w:rFonts w:ascii="Arial" w:hAnsi="Arial" w:cs="Arial"/>
          <w:i/>
        </w:rPr>
        <w:t>more competition</w:t>
      </w:r>
      <w:r>
        <w:rPr>
          <w:rFonts w:ascii="Arial" w:hAnsi="Arial" w:cs="Arial"/>
          <w:i/>
        </w:rPr>
        <w:t xml:space="preserve"> ... in the market ....</w:t>
      </w:r>
      <w:r w:rsidRPr="004B2022">
        <w:rPr>
          <w:rFonts w:ascii="Arial" w:hAnsi="Arial" w:cs="Arial"/>
        </w:rPr>
        <w:t>”</w:t>
      </w:r>
      <w:r>
        <w:rPr>
          <w:rStyle w:val="FootnoteReference"/>
          <w:rFonts w:ascii="Arial" w:hAnsi="Arial" w:cs="Arial"/>
        </w:rPr>
        <w:footnoteReference w:id="147"/>
      </w:r>
      <w:r w:rsidRPr="00675F94">
        <w:rPr>
          <w:rStyle w:val="FootnoteReference"/>
        </w:rPr>
        <w:t xml:space="preserve"> </w:t>
      </w:r>
    </w:p>
    <w:p w:rsidR="00C9278D" w:rsidRDefault="00C9278D" w:rsidP="00C9278D">
      <w:pPr>
        <w:pStyle w:val="ListParagraph"/>
        <w:numPr>
          <w:ilvl w:val="0"/>
          <w:numId w:val="2"/>
        </w:numPr>
        <w:spacing w:after="240" w:line="360" w:lineRule="auto"/>
        <w:ind w:left="0" w:firstLine="0"/>
        <w:jc w:val="both"/>
        <w:rPr>
          <w:rFonts w:ascii="Arial" w:hAnsi="Arial" w:cs="Arial"/>
        </w:rPr>
      </w:pPr>
      <w:r w:rsidRPr="002A3D7A">
        <w:rPr>
          <w:rFonts w:ascii="Arial" w:hAnsi="Arial" w:cs="Arial"/>
        </w:rPr>
        <w:t xml:space="preserve">The Commission </w:t>
      </w:r>
      <w:r w:rsidR="00090250">
        <w:rPr>
          <w:rFonts w:ascii="Arial" w:hAnsi="Arial" w:cs="Arial"/>
        </w:rPr>
        <w:t>held</w:t>
      </w:r>
      <w:r>
        <w:rPr>
          <w:rFonts w:ascii="Arial" w:hAnsi="Arial" w:cs="Arial"/>
        </w:rPr>
        <w:t xml:space="preserve"> the view that</w:t>
      </w:r>
      <w:r w:rsidRPr="002A3D7A">
        <w:rPr>
          <w:rFonts w:ascii="Arial" w:hAnsi="Arial" w:cs="Arial"/>
        </w:rPr>
        <w:t xml:space="preserve"> ADD Resins </w:t>
      </w:r>
      <w:r>
        <w:rPr>
          <w:rFonts w:ascii="Arial" w:hAnsi="Arial" w:cs="Arial"/>
        </w:rPr>
        <w:t>is</w:t>
      </w:r>
      <w:r w:rsidRPr="002A3D7A">
        <w:rPr>
          <w:rFonts w:ascii="Arial" w:hAnsi="Arial" w:cs="Arial"/>
        </w:rPr>
        <w:t xml:space="preserve"> a credible potential entrant. Beal has a long history in the UPR market and has</w:t>
      </w:r>
      <w:r w:rsidR="00DD5CBE">
        <w:rPr>
          <w:rFonts w:ascii="Arial" w:hAnsi="Arial" w:cs="Arial"/>
        </w:rPr>
        <w:t xml:space="preserve"> considerable</w:t>
      </w:r>
      <w:r w:rsidRPr="002A3D7A">
        <w:rPr>
          <w:rFonts w:ascii="Arial" w:hAnsi="Arial" w:cs="Arial"/>
        </w:rPr>
        <w:t xml:space="preserve"> experience in UPR manufacturing. He was the chairman of NCS in 2007. Furthermore, ADD Resins employs a team of people with experience in the UPR industry, has grown into a successful </w:t>
      </w:r>
      <w:r w:rsidRPr="002A3D7A">
        <w:rPr>
          <w:rFonts w:ascii="Arial" w:hAnsi="Arial" w:cs="Arial"/>
        </w:rPr>
        <w:lastRenderedPageBreak/>
        <w:t>business</w:t>
      </w:r>
      <w:r w:rsidR="00DD5CBE">
        <w:rPr>
          <w:rFonts w:ascii="Arial" w:hAnsi="Arial" w:cs="Arial"/>
        </w:rPr>
        <w:t xml:space="preserve"> in a short period of time</w:t>
      </w:r>
      <w:r w:rsidRPr="002A3D7A">
        <w:rPr>
          <w:rFonts w:ascii="Arial" w:hAnsi="Arial" w:cs="Arial"/>
        </w:rPr>
        <w:t xml:space="preserve"> and has a national footprint.</w:t>
      </w:r>
      <w:r>
        <w:rPr>
          <w:rStyle w:val="FootnoteReference"/>
          <w:rFonts w:ascii="Arial" w:hAnsi="Arial" w:cs="Arial"/>
        </w:rPr>
        <w:footnoteReference w:id="148"/>
      </w:r>
      <w:r w:rsidRPr="002A3D7A">
        <w:rPr>
          <w:rFonts w:ascii="Arial" w:hAnsi="Arial" w:cs="Arial"/>
        </w:rPr>
        <w:t xml:space="preserve"> Perrow </w:t>
      </w:r>
      <w:r>
        <w:rPr>
          <w:rFonts w:ascii="Arial" w:hAnsi="Arial" w:cs="Arial"/>
        </w:rPr>
        <w:t xml:space="preserve">referred to </w:t>
      </w:r>
      <w:r w:rsidRPr="002A3D7A">
        <w:rPr>
          <w:rFonts w:ascii="Arial" w:hAnsi="Arial" w:cs="Arial"/>
        </w:rPr>
        <w:t>Beal as “</w:t>
      </w:r>
      <w:r w:rsidRPr="002A3D7A">
        <w:rPr>
          <w:rFonts w:ascii="Arial" w:hAnsi="Arial" w:cs="Arial"/>
          <w:i/>
        </w:rPr>
        <w:t>probably perceived as one of the doyen’s of the industry</w:t>
      </w:r>
      <w:r w:rsidRPr="002A3D7A">
        <w:rPr>
          <w:rFonts w:ascii="Arial" w:hAnsi="Arial" w:cs="Arial"/>
        </w:rPr>
        <w:t>”</w:t>
      </w:r>
      <w:r>
        <w:rPr>
          <w:rStyle w:val="FootnoteReference"/>
          <w:rFonts w:ascii="Arial" w:hAnsi="Arial" w:cs="Arial"/>
        </w:rPr>
        <w:footnoteReference w:id="149"/>
      </w:r>
      <w:r w:rsidRPr="002A3D7A">
        <w:rPr>
          <w:rFonts w:ascii="Arial" w:hAnsi="Arial" w:cs="Arial"/>
        </w:rPr>
        <w:t xml:space="preserve"> </w:t>
      </w:r>
      <w:r>
        <w:rPr>
          <w:rFonts w:ascii="Arial" w:hAnsi="Arial" w:cs="Arial"/>
        </w:rPr>
        <w:t xml:space="preserve">and </w:t>
      </w:r>
      <w:r w:rsidRPr="002A3D7A">
        <w:rPr>
          <w:rFonts w:ascii="Arial" w:hAnsi="Arial" w:cs="Arial"/>
        </w:rPr>
        <w:t>describe</w:t>
      </w:r>
      <w:r>
        <w:rPr>
          <w:rFonts w:ascii="Arial" w:hAnsi="Arial" w:cs="Arial"/>
        </w:rPr>
        <w:t>d</w:t>
      </w:r>
      <w:r w:rsidRPr="002A3D7A">
        <w:rPr>
          <w:rFonts w:ascii="Arial" w:hAnsi="Arial" w:cs="Arial"/>
        </w:rPr>
        <w:t xml:space="preserve"> ADD</w:t>
      </w:r>
      <w:r w:rsidR="00DC3160">
        <w:rPr>
          <w:rFonts w:ascii="Arial" w:hAnsi="Arial" w:cs="Arial"/>
        </w:rPr>
        <w:t xml:space="preserve"> Resins’</w:t>
      </w:r>
      <w:r w:rsidRPr="002A3D7A">
        <w:rPr>
          <w:rFonts w:ascii="Arial" w:hAnsi="Arial" w:cs="Arial"/>
        </w:rPr>
        <w:t xml:space="preserve"> sales team in Johannesburg as “</w:t>
      </w:r>
      <w:r w:rsidRPr="002A3D7A">
        <w:rPr>
          <w:rFonts w:ascii="Arial" w:hAnsi="Arial" w:cs="Arial"/>
          <w:i/>
        </w:rPr>
        <w:t>potent</w:t>
      </w:r>
      <w:r w:rsidRPr="002A3D7A">
        <w:rPr>
          <w:rFonts w:ascii="Arial" w:hAnsi="Arial" w:cs="Arial"/>
        </w:rPr>
        <w:t>”.</w:t>
      </w:r>
      <w:r>
        <w:rPr>
          <w:rStyle w:val="FootnoteReference"/>
          <w:rFonts w:ascii="Arial" w:hAnsi="Arial" w:cs="Arial"/>
        </w:rPr>
        <w:footnoteReference w:id="150"/>
      </w:r>
      <w:r>
        <w:rPr>
          <w:rFonts w:ascii="Arial" w:hAnsi="Arial" w:cs="Arial"/>
        </w:rPr>
        <w:t xml:space="preserve"> </w:t>
      </w:r>
      <w:r w:rsidRPr="002A3D7A">
        <w:rPr>
          <w:rFonts w:ascii="Arial" w:hAnsi="Arial" w:cs="Arial"/>
        </w:rPr>
        <w:t>ADD Resins has since entering the market in 2010</w:t>
      </w:r>
      <w:r>
        <w:rPr>
          <w:rFonts w:ascii="Arial" w:hAnsi="Arial" w:cs="Arial"/>
        </w:rPr>
        <w:t xml:space="preserve"> </w:t>
      </w:r>
      <w:r w:rsidRPr="002A3D7A">
        <w:rPr>
          <w:rFonts w:ascii="Arial" w:hAnsi="Arial" w:cs="Arial"/>
        </w:rPr>
        <w:t xml:space="preserve">acquired a </w:t>
      </w:r>
      <w:r>
        <w:rPr>
          <w:rFonts w:ascii="Arial" w:hAnsi="Arial" w:cs="Arial"/>
        </w:rPr>
        <w:t xml:space="preserve">national </w:t>
      </w:r>
      <w:r w:rsidRPr="002A3D7A">
        <w:rPr>
          <w:rFonts w:ascii="Arial" w:hAnsi="Arial" w:cs="Arial"/>
        </w:rPr>
        <w:t xml:space="preserve">market share of approximately </w:t>
      </w:r>
      <w:r>
        <w:rPr>
          <w:rFonts w:ascii="Arial" w:hAnsi="Arial" w:cs="Arial"/>
        </w:rPr>
        <w:t>5</w:t>
      </w:r>
      <w:r w:rsidR="00DD5CBE">
        <w:rPr>
          <w:rFonts w:ascii="Arial" w:hAnsi="Arial" w:cs="Arial"/>
        </w:rPr>
        <w:t>% to 10</w:t>
      </w:r>
      <w:r w:rsidRPr="002A3D7A">
        <w:rPr>
          <w:rFonts w:ascii="Arial" w:hAnsi="Arial" w:cs="Arial"/>
        </w:rPr>
        <w:t>% (on its own version)</w:t>
      </w:r>
      <w:r>
        <w:rPr>
          <w:rStyle w:val="FootnoteReference"/>
          <w:rFonts w:ascii="Arial" w:hAnsi="Arial" w:cs="Arial"/>
        </w:rPr>
        <w:footnoteReference w:id="151"/>
      </w:r>
      <w:r w:rsidRPr="002A3D7A">
        <w:rPr>
          <w:rFonts w:ascii="Arial" w:hAnsi="Arial" w:cs="Arial"/>
        </w:rPr>
        <w:t xml:space="preserve"> </w:t>
      </w:r>
      <w:r>
        <w:rPr>
          <w:rFonts w:ascii="Arial" w:hAnsi="Arial" w:cs="Arial"/>
        </w:rPr>
        <w:t>an</w:t>
      </w:r>
      <w:r w:rsidR="00AC6BB2">
        <w:rPr>
          <w:rFonts w:ascii="Arial" w:hAnsi="Arial" w:cs="Arial"/>
        </w:rPr>
        <w:t>d</w:t>
      </w:r>
      <w:r>
        <w:rPr>
          <w:rFonts w:ascii="Arial" w:hAnsi="Arial" w:cs="Arial"/>
        </w:rPr>
        <w:t xml:space="preserve"> also has </w:t>
      </w:r>
      <w:r w:rsidRPr="002A3D7A">
        <w:rPr>
          <w:rFonts w:ascii="Arial" w:hAnsi="Arial" w:cs="Arial"/>
        </w:rPr>
        <w:t>significant excess blending capacity.</w:t>
      </w:r>
      <w:r>
        <w:rPr>
          <w:rStyle w:val="FootnoteReference"/>
          <w:rFonts w:ascii="Arial" w:hAnsi="Arial" w:cs="Arial"/>
        </w:rPr>
        <w:footnoteReference w:id="152"/>
      </w:r>
      <w:r w:rsidRPr="002A3D7A">
        <w:rPr>
          <w:rFonts w:ascii="Arial" w:hAnsi="Arial" w:cs="Arial"/>
        </w:rPr>
        <w:t xml:space="preserve"> </w:t>
      </w:r>
      <w:r w:rsidR="00DC3160">
        <w:rPr>
          <w:rFonts w:ascii="Arial" w:hAnsi="Arial" w:cs="Arial"/>
        </w:rPr>
        <w:t xml:space="preserve">We further note that </w:t>
      </w:r>
      <w:r w:rsidRPr="002A3D7A">
        <w:rPr>
          <w:rFonts w:ascii="Arial" w:hAnsi="Arial" w:cs="Arial"/>
        </w:rPr>
        <w:t xml:space="preserve">ADD Resins has also shown an interest in </w:t>
      </w:r>
      <w:r>
        <w:rPr>
          <w:rFonts w:ascii="Arial" w:hAnsi="Arial" w:cs="Arial"/>
        </w:rPr>
        <w:t xml:space="preserve">acquiring </w:t>
      </w:r>
      <w:r w:rsidR="008053BF">
        <w:rPr>
          <w:rFonts w:ascii="Arial" w:hAnsi="Arial" w:cs="Arial"/>
        </w:rPr>
        <w:t xml:space="preserve">the Harveys </w:t>
      </w:r>
      <w:r w:rsidR="005B3970">
        <w:rPr>
          <w:rFonts w:ascii="Arial" w:hAnsi="Arial" w:cs="Arial"/>
        </w:rPr>
        <w:t>distribution b</w:t>
      </w:r>
      <w:r w:rsidR="008053BF">
        <w:rPr>
          <w:rFonts w:ascii="Arial" w:hAnsi="Arial" w:cs="Arial"/>
        </w:rPr>
        <w:t>usiness</w:t>
      </w:r>
      <w:r w:rsidR="008053BF">
        <w:rPr>
          <w:rStyle w:val="FootnoteReference"/>
          <w:rFonts w:ascii="Arial" w:hAnsi="Arial" w:cs="Arial"/>
        </w:rPr>
        <w:footnoteReference w:id="153"/>
      </w:r>
      <w:r w:rsidR="008053BF">
        <w:rPr>
          <w:rFonts w:ascii="Arial" w:hAnsi="Arial" w:cs="Arial"/>
        </w:rPr>
        <w:t xml:space="preserve"> of </w:t>
      </w:r>
      <w:r w:rsidRPr="002A3D7A">
        <w:rPr>
          <w:rFonts w:ascii="Arial" w:hAnsi="Arial" w:cs="Arial"/>
        </w:rPr>
        <w:t xml:space="preserve">Arkema </w:t>
      </w:r>
      <w:r>
        <w:rPr>
          <w:rFonts w:ascii="Arial" w:hAnsi="Arial" w:cs="Arial"/>
        </w:rPr>
        <w:t xml:space="preserve">SA </w:t>
      </w:r>
      <w:r w:rsidRPr="002A3D7A">
        <w:rPr>
          <w:rFonts w:ascii="Arial" w:hAnsi="Arial" w:cs="Arial"/>
        </w:rPr>
        <w:t>in the past.</w:t>
      </w:r>
      <w:r>
        <w:rPr>
          <w:rStyle w:val="FootnoteReference"/>
          <w:rFonts w:ascii="Arial" w:hAnsi="Arial" w:cs="Arial"/>
        </w:rPr>
        <w:footnoteReference w:id="154"/>
      </w:r>
      <w:r w:rsidRPr="002A3D7A">
        <w:rPr>
          <w:rFonts w:ascii="Arial" w:hAnsi="Arial" w:cs="Arial"/>
        </w:rPr>
        <w:t xml:space="preserve"> </w:t>
      </w:r>
    </w:p>
    <w:p w:rsidR="006C4773" w:rsidRPr="00261A60" w:rsidRDefault="006C4773" w:rsidP="006C4773">
      <w:pPr>
        <w:pStyle w:val="ListParagraph"/>
        <w:spacing w:after="240" w:line="360" w:lineRule="auto"/>
        <w:ind w:left="0"/>
        <w:jc w:val="both"/>
        <w:rPr>
          <w:rFonts w:ascii="Arial" w:hAnsi="Arial" w:cs="Arial"/>
          <w:i/>
        </w:rPr>
      </w:pPr>
      <w:r w:rsidRPr="00261A60">
        <w:rPr>
          <w:rFonts w:ascii="Arial" w:hAnsi="Arial" w:cs="Arial"/>
          <w:i/>
        </w:rPr>
        <w:t>Imposed conditions</w:t>
      </w:r>
    </w:p>
    <w:p w:rsidR="00242DB0" w:rsidRPr="00242DB0" w:rsidRDefault="00242DB0" w:rsidP="00242DB0">
      <w:pPr>
        <w:pStyle w:val="ListParagraph"/>
        <w:numPr>
          <w:ilvl w:val="0"/>
          <w:numId w:val="2"/>
        </w:numPr>
        <w:spacing w:after="240" w:line="360" w:lineRule="auto"/>
        <w:ind w:left="0" w:firstLine="0"/>
        <w:jc w:val="both"/>
        <w:rPr>
          <w:rFonts w:ascii="Arial" w:hAnsi="Arial" w:cs="Arial"/>
        </w:rPr>
      </w:pPr>
      <w:r w:rsidRPr="00242DB0">
        <w:rPr>
          <w:rFonts w:ascii="Arial" w:hAnsi="Arial" w:cs="Arial"/>
        </w:rPr>
        <w:t xml:space="preserve">We have imposed the tendered divestiture remedy as a condition to approving the proposed transaction. Although there were a number of disputes between the Commission and the merging parties regarding the exact formulation of the remedy, these </w:t>
      </w:r>
      <w:r w:rsidR="00DD5CBE" w:rsidRPr="00242DB0">
        <w:rPr>
          <w:rFonts w:ascii="Arial" w:hAnsi="Arial" w:cs="Arial"/>
        </w:rPr>
        <w:t>were</w:t>
      </w:r>
      <w:r w:rsidR="00DD5CBE">
        <w:rPr>
          <w:rFonts w:ascii="Arial" w:hAnsi="Arial" w:cs="Arial"/>
        </w:rPr>
        <w:t>, to a large extent,</w:t>
      </w:r>
      <w:r w:rsidR="00DD5CBE" w:rsidRPr="00242DB0">
        <w:rPr>
          <w:rFonts w:ascii="Arial" w:hAnsi="Arial" w:cs="Arial"/>
        </w:rPr>
        <w:t xml:space="preserve"> </w:t>
      </w:r>
      <w:r w:rsidRPr="00242DB0">
        <w:rPr>
          <w:rFonts w:ascii="Arial" w:hAnsi="Arial" w:cs="Arial"/>
        </w:rPr>
        <w:t xml:space="preserve">ultimately resolved, and we therefore do not deal with that in any detail in these reasons. Our final conditions are contained in </w:t>
      </w:r>
      <w:r w:rsidRPr="00242DB0">
        <w:rPr>
          <w:rFonts w:ascii="Arial" w:hAnsi="Arial" w:cs="Arial"/>
          <w:b/>
        </w:rPr>
        <w:t>Annexures A, B, C and D</w:t>
      </w:r>
      <w:r w:rsidRPr="00242DB0">
        <w:rPr>
          <w:rFonts w:ascii="Arial" w:hAnsi="Arial" w:cs="Arial"/>
        </w:rPr>
        <w:t xml:space="preserve"> to our order. We </w:t>
      </w:r>
      <w:r>
        <w:rPr>
          <w:rFonts w:ascii="Arial" w:hAnsi="Arial" w:cs="Arial"/>
        </w:rPr>
        <w:t xml:space="preserve">do </w:t>
      </w:r>
      <w:r w:rsidRPr="00242DB0">
        <w:rPr>
          <w:rFonts w:ascii="Arial" w:hAnsi="Arial" w:cs="Arial"/>
        </w:rPr>
        <w:t xml:space="preserve">however highlight certain </w:t>
      </w:r>
      <w:r>
        <w:rPr>
          <w:rFonts w:ascii="Arial" w:hAnsi="Arial" w:cs="Arial"/>
        </w:rPr>
        <w:t>elements</w:t>
      </w:r>
      <w:r w:rsidRPr="00242DB0">
        <w:rPr>
          <w:rFonts w:ascii="Arial" w:hAnsi="Arial" w:cs="Arial"/>
        </w:rPr>
        <w:t xml:space="preserve"> of the imposed conditions</w:t>
      </w:r>
      <w:r>
        <w:rPr>
          <w:rFonts w:ascii="Arial" w:hAnsi="Arial" w:cs="Arial"/>
        </w:rPr>
        <w:t xml:space="preserve"> below</w:t>
      </w:r>
      <w:r w:rsidRPr="00242DB0">
        <w:rPr>
          <w:rFonts w:ascii="Arial" w:hAnsi="Arial" w:cs="Arial"/>
        </w:rPr>
        <w:t>.</w:t>
      </w:r>
    </w:p>
    <w:p w:rsidR="00242DB0" w:rsidRDefault="00A126BD" w:rsidP="00242DB0">
      <w:pPr>
        <w:pStyle w:val="ListParagraph"/>
        <w:numPr>
          <w:ilvl w:val="0"/>
          <w:numId w:val="2"/>
        </w:numPr>
        <w:spacing w:after="240" w:line="360" w:lineRule="auto"/>
        <w:ind w:left="0" w:firstLine="0"/>
        <w:jc w:val="both"/>
        <w:rPr>
          <w:rFonts w:ascii="Arial" w:hAnsi="Arial" w:cs="Arial"/>
        </w:rPr>
      </w:pPr>
      <w:r>
        <w:rPr>
          <w:rFonts w:ascii="Arial" w:hAnsi="Arial" w:cs="Arial"/>
        </w:rPr>
        <w:t>In terms of the conditions</w:t>
      </w:r>
      <w:r w:rsidR="006C4773" w:rsidRPr="006C4773">
        <w:rPr>
          <w:rFonts w:ascii="Arial" w:hAnsi="Arial" w:cs="Arial"/>
        </w:rPr>
        <w:t xml:space="preserve"> </w:t>
      </w:r>
      <w:r w:rsidR="006C4773">
        <w:rPr>
          <w:rFonts w:ascii="Arial" w:hAnsi="Arial" w:cs="Arial"/>
        </w:rPr>
        <w:t>that we have imposed on the approval of the proposed merger</w:t>
      </w:r>
      <w:r>
        <w:rPr>
          <w:rFonts w:ascii="Arial" w:hAnsi="Arial" w:cs="Arial"/>
        </w:rPr>
        <w:t>, t</w:t>
      </w:r>
      <w:r w:rsidR="00CA318F" w:rsidRPr="001B7A20">
        <w:rPr>
          <w:rFonts w:ascii="Arial" w:hAnsi="Arial" w:cs="Arial"/>
        </w:rPr>
        <w:t>he toll</w:t>
      </w:r>
      <w:r w:rsidR="00914D46">
        <w:rPr>
          <w:rFonts w:ascii="Arial" w:hAnsi="Arial" w:cs="Arial"/>
        </w:rPr>
        <w:t xml:space="preserve"> </w:t>
      </w:r>
      <w:r w:rsidR="00CA318F" w:rsidRPr="001B7A20">
        <w:rPr>
          <w:rFonts w:ascii="Arial" w:hAnsi="Arial" w:cs="Arial"/>
        </w:rPr>
        <w:t>manufacturing component of the remedy provide</w:t>
      </w:r>
      <w:r w:rsidR="00AC6BB2">
        <w:rPr>
          <w:rFonts w:ascii="Arial" w:hAnsi="Arial" w:cs="Arial"/>
        </w:rPr>
        <w:t>s</w:t>
      </w:r>
      <w:r w:rsidR="00CA318F" w:rsidRPr="001B7A20">
        <w:rPr>
          <w:rFonts w:ascii="Arial" w:hAnsi="Arial" w:cs="Arial"/>
        </w:rPr>
        <w:t xml:space="preserve"> for a tolling or similar agreement (</w:t>
      </w:r>
      <w:r w:rsidR="001B7A20" w:rsidRPr="001B7A20">
        <w:rPr>
          <w:rFonts w:ascii="Arial" w:hAnsi="Arial" w:cs="Arial"/>
        </w:rPr>
        <w:t>on ordinary and reasonable commercial terms to be mutually agreed</w:t>
      </w:r>
      <w:r w:rsidR="00CA318F" w:rsidRPr="001B7A20">
        <w:rPr>
          <w:rFonts w:ascii="Arial" w:hAnsi="Arial" w:cs="Arial"/>
        </w:rPr>
        <w:t>)</w:t>
      </w:r>
      <w:r w:rsidR="001B7A20" w:rsidRPr="001B7A20">
        <w:rPr>
          <w:rFonts w:ascii="Arial" w:hAnsi="Arial" w:cs="Arial"/>
        </w:rPr>
        <w:t xml:space="preserve"> in order to assist the </w:t>
      </w:r>
      <w:r w:rsidR="001B7A20">
        <w:rPr>
          <w:rFonts w:ascii="Arial" w:hAnsi="Arial" w:cs="Arial"/>
        </w:rPr>
        <w:t>relevant purchaser</w:t>
      </w:r>
      <w:r w:rsidR="001B7A20" w:rsidRPr="001B7A20">
        <w:rPr>
          <w:rFonts w:ascii="Arial" w:hAnsi="Arial" w:cs="Arial"/>
        </w:rPr>
        <w:t>, if required by th</w:t>
      </w:r>
      <w:r w:rsidR="001B7A20">
        <w:rPr>
          <w:rFonts w:ascii="Arial" w:hAnsi="Arial" w:cs="Arial"/>
        </w:rPr>
        <w:t>at</w:t>
      </w:r>
      <w:r w:rsidR="001B7A20" w:rsidRPr="001B7A20">
        <w:rPr>
          <w:rFonts w:ascii="Arial" w:hAnsi="Arial" w:cs="Arial"/>
        </w:rPr>
        <w:t xml:space="preserve"> </w:t>
      </w:r>
      <w:r w:rsidR="001B7A20">
        <w:rPr>
          <w:rFonts w:ascii="Arial" w:hAnsi="Arial" w:cs="Arial"/>
        </w:rPr>
        <w:t>p</w:t>
      </w:r>
      <w:r w:rsidR="001B7A20" w:rsidRPr="001B7A20">
        <w:rPr>
          <w:rFonts w:ascii="Arial" w:hAnsi="Arial" w:cs="Arial"/>
        </w:rPr>
        <w:t>urchaser, in continuing to supply Arkema</w:t>
      </w:r>
      <w:r w:rsidR="006C4773">
        <w:rPr>
          <w:rFonts w:ascii="Arial" w:hAnsi="Arial" w:cs="Arial"/>
        </w:rPr>
        <w:t xml:space="preserve"> SA</w:t>
      </w:r>
      <w:r w:rsidR="001B7A20" w:rsidRPr="001B7A20">
        <w:rPr>
          <w:rFonts w:ascii="Arial" w:hAnsi="Arial" w:cs="Arial"/>
        </w:rPr>
        <w:t xml:space="preserve">’s current customer base until such time as its own manufacturing operations are operational. </w:t>
      </w:r>
    </w:p>
    <w:p w:rsidR="00242DB0" w:rsidRPr="004B2022" w:rsidRDefault="00242DB0" w:rsidP="00242DB0">
      <w:pPr>
        <w:pStyle w:val="ListParagraph"/>
        <w:numPr>
          <w:ilvl w:val="0"/>
          <w:numId w:val="2"/>
        </w:numPr>
        <w:spacing w:after="240" w:line="360" w:lineRule="auto"/>
        <w:ind w:left="0" w:firstLine="0"/>
        <w:jc w:val="both"/>
        <w:rPr>
          <w:rFonts w:ascii="Arial" w:hAnsi="Arial" w:cs="Arial"/>
        </w:rPr>
      </w:pPr>
      <w:r w:rsidRPr="004B2022">
        <w:rPr>
          <w:rFonts w:ascii="Arial" w:hAnsi="Arial" w:cs="Arial"/>
        </w:rPr>
        <w:t xml:space="preserve">Beal </w:t>
      </w:r>
      <w:r w:rsidR="00DC3160">
        <w:rPr>
          <w:rFonts w:ascii="Arial" w:hAnsi="Arial" w:cs="Arial"/>
        </w:rPr>
        <w:t>indicated</w:t>
      </w:r>
      <w:r w:rsidRPr="004B2022">
        <w:rPr>
          <w:rFonts w:ascii="Arial" w:hAnsi="Arial" w:cs="Arial"/>
        </w:rPr>
        <w:t xml:space="preserve"> that </w:t>
      </w:r>
      <w:r>
        <w:rPr>
          <w:rFonts w:ascii="Arial" w:hAnsi="Arial" w:cs="Arial"/>
        </w:rPr>
        <w:t xml:space="preserve">if </w:t>
      </w:r>
      <w:r w:rsidRPr="004B2022">
        <w:rPr>
          <w:rFonts w:ascii="Arial" w:hAnsi="Arial" w:cs="Arial"/>
        </w:rPr>
        <w:t xml:space="preserve">ADD </w:t>
      </w:r>
      <w:r>
        <w:rPr>
          <w:rFonts w:ascii="Arial" w:hAnsi="Arial" w:cs="Arial"/>
        </w:rPr>
        <w:t>R</w:t>
      </w:r>
      <w:r w:rsidRPr="004B2022">
        <w:rPr>
          <w:rFonts w:ascii="Arial" w:hAnsi="Arial" w:cs="Arial"/>
        </w:rPr>
        <w:t xml:space="preserve">esins </w:t>
      </w:r>
      <w:r>
        <w:rPr>
          <w:rFonts w:ascii="Arial" w:hAnsi="Arial" w:cs="Arial"/>
        </w:rPr>
        <w:t xml:space="preserve">were the relevant acquirer, it </w:t>
      </w:r>
      <w:r w:rsidRPr="004B2022">
        <w:rPr>
          <w:rFonts w:ascii="Arial" w:hAnsi="Arial" w:cs="Arial"/>
        </w:rPr>
        <w:t xml:space="preserve">would require a toll manufacturing agreement of </w:t>
      </w:r>
      <w:r w:rsidR="00203FE7">
        <w:rPr>
          <w:rFonts w:ascii="Arial" w:hAnsi="Arial" w:cs="Arial"/>
        </w:rPr>
        <w:t>[...]</w:t>
      </w:r>
      <w:r w:rsidRPr="004B2022">
        <w:rPr>
          <w:rFonts w:ascii="Arial" w:hAnsi="Arial" w:cs="Arial"/>
        </w:rPr>
        <w:t xml:space="preserve"> years</w:t>
      </w:r>
      <w:r>
        <w:rPr>
          <w:rStyle w:val="FootnoteReference"/>
          <w:rFonts w:ascii="Arial" w:hAnsi="Arial" w:cs="Arial"/>
        </w:rPr>
        <w:footnoteReference w:id="155"/>
      </w:r>
      <w:r w:rsidRPr="004B2022">
        <w:rPr>
          <w:rFonts w:ascii="Arial" w:hAnsi="Arial" w:cs="Arial"/>
        </w:rPr>
        <w:t>. This would allow ADD Resins to decide</w:t>
      </w:r>
      <w:r w:rsidR="00AC6BB2">
        <w:rPr>
          <w:rFonts w:ascii="Arial" w:hAnsi="Arial" w:cs="Arial"/>
        </w:rPr>
        <w:t>,</w:t>
      </w:r>
      <w:r w:rsidRPr="004B2022">
        <w:rPr>
          <w:rFonts w:ascii="Arial" w:hAnsi="Arial" w:cs="Arial"/>
        </w:rPr>
        <w:t xml:space="preserve"> </w:t>
      </w:r>
      <w:r w:rsidR="00AC6BB2" w:rsidRPr="004B2022">
        <w:rPr>
          <w:rFonts w:ascii="Arial" w:hAnsi="Arial" w:cs="Arial"/>
        </w:rPr>
        <w:t>in time</w:t>
      </w:r>
      <w:r w:rsidR="00AC6BB2">
        <w:rPr>
          <w:rFonts w:ascii="Arial" w:hAnsi="Arial" w:cs="Arial"/>
        </w:rPr>
        <w:t>,</w:t>
      </w:r>
      <w:r w:rsidR="00AC6BB2" w:rsidRPr="004B2022">
        <w:rPr>
          <w:rFonts w:ascii="Arial" w:hAnsi="Arial" w:cs="Arial"/>
        </w:rPr>
        <w:t xml:space="preserve"> </w:t>
      </w:r>
      <w:r w:rsidRPr="004B2022">
        <w:rPr>
          <w:rFonts w:ascii="Arial" w:hAnsi="Arial" w:cs="Arial"/>
        </w:rPr>
        <w:t>on the potential investment in</w:t>
      </w:r>
      <w:r w:rsidR="00203FE7">
        <w:rPr>
          <w:rFonts w:ascii="Arial" w:hAnsi="Arial" w:cs="Arial"/>
        </w:rPr>
        <w:t xml:space="preserve"> [...]</w:t>
      </w:r>
      <w:r w:rsidRPr="004B2022">
        <w:rPr>
          <w:rFonts w:ascii="Arial" w:hAnsi="Arial" w:cs="Arial"/>
        </w:rPr>
        <w:t>.</w:t>
      </w:r>
      <w:r>
        <w:rPr>
          <w:rStyle w:val="FootnoteReference"/>
          <w:rFonts w:ascii="Arial" w:hAnsi="Arial" w:cs="Arial"/>
        </w:rPr>
        <w:footnoteReference w:id="156"/>
      </w:r>
      <w:r w:rsidRPr="004B2022">
        <w:rPr>
          <w:rFonts w:ascii="Arial" w:hAnsi="Arial" w:cs="Arial"/>
        </w:rPr>
        <w:t xml:space="preserve"> Beal further indicated that he had acquired his </w:t>
      </w:r>
      <w:r w:rsidRPr="004B2022">
        <w:rPr>
          <w:rFonts w:ascii="Arial" w:hAnsi="Arial" w:cs="Arial"/>
        </w:rPr>
        <w:lastRenderedPageBreak/>
        <w:t>current blending equipment</w:t>
      </w:r>
      <w:r w:rsidR="00203FE7">
        <w:rPr>
          <w:rFonts w:ascii="Arial" w:hAnsi="Arial" w:cs="Arial"/>
        </w:rPr>
        <w:t xml:space="preserve"> [...]</w:t>
      </w:r>
      <w:r w:rsidRPr="004B2022">
        <w:rPr>
          <w:rFonts w:ascii="Arial" w:hAnsi="Arial" w:cs="Arial"/>
        </w:rPr>
        <w:t xml:space="preserve">. New </w:t>
      </w:r>
      <w:r>
        <w:rPr>
          <w:rFonts w:ascii="Arial" w:hAnsi="Arial" w:cs="Arial"/>
        </w:rPr>
        <w:t xml:space="preserve">UPR </w:t>
      </w:r>
      <w:r w:rsidRPr="004B2022">
        <w:rPr>
          <w:rFonts w:ascii="Arial" w:hAnsi="Arial" w:cs="Arial"/>
        </w:rPr>
        <w:t>blending equipment would cost between R500 000 and R1million</w:t>
      </w:r>
      <w:r>
        <w:rPr>
          <w:rFonts w:ascii="Arial" w:hAnsi="Arial" w:cs="Arial"/>
        </w:rPr>
        <w:t>, depending on the quality of the equipment</w:t>
      </w:r>
      <w:r w:rsidRPr="004B2022">
        <w:rPr>
          <w:rFonts w:ascii="Arial" w:hAnsi="Arial" w:cs="Arial"/>
        </w:rPr>
        <w:t>.</w:t>
      </w:r>
      <w:r>
        <w:rPr>
          <w:rStyle w:val="FootnoteReference"/>
          <w:rFonts w:ascii="Arial" w:hAnsi="Arial" w:cs="Arial"/>
        </w:rPr>
        <w:footnoteReference w:id="157"/>
      </w:r>
    </w:p>
    <w:p w:rsidR="00A126BD" w:rsidRDefault="00A126BD" w:rsidP="00A126BD">
      <w:pPr>
        <w:pStyle w:val="ListParagraph"/>
        <w:numPr>
          <w:ilvl w:val="0"/>
          <w:numId w:val="2"/>
        </w:numPr>
        <w:spacing w:after="240" w:line="360" w:lineRule="auto"/>
        <w:ind w:left="0" w:firstLine="0"/>
        <w:jc w:val="both"/>
        <w:rPr>
          <w:rFonts w:ascii="Arial" w:hAnsi="Arial" w:cs="Arial"/>
        </w:rPr>
      </w:pPr>
      <w:r w:rsidRPr="00715148">
        <w:rPr>
          <w:rFonts w:ascii="Arial" w:hAnsi="Arial" w:cs="Arial"/>
        </w:rPr>
        <w:t xml:space="preserve">Although the merging parties initially tendered a tolling agreement to endure only for a </w:t>
      </w:r>
      <w:r>
        <w:rPr>
          <w:rFonts w:ascii="Arial" w:hAnsi="Arial" w:cs="Arial"/>
        </w:rPr>
        <w:t xml:space="preserve">period of one </w:t>
      </w:r>
      <w:r w:rsidRPr="00715148">
        <w:rPr>
          <w:rFonts w:ascii="Arial" w:hAnsi="Arial" w:cs="Arial"/>
        </w:rPr>
        <w:t xml:space="preserve">year, it was later extended to </w:t>
      </w:r>
      <w:r>
        <w:rPr>
          <w:rFonts w:ascii="Arial" w:hAnsi="Arial" w:cs="Arial"/>
        </w:rPr>
        <w:t xml:space="preserve">a period </w:t>
      </w:r>
      <w:r w:rsidRPr="00A44AD3">
        <w:rPr>
          <w:rFonts w:ascii="Arial" w:hAnsi="Arial" w:cs="Arial"/>
        </w:rPr>
        <w:t>of up to</w:t>
      </w:r>
      <w:r>
        <w:rPr>
          <w:rFonts w:ascii="Arial" w:hAnsi="Arial" w:cs="Arial"/>
        </w:rPr>
        <w:t xml:space="preserve"> [...]</w:t>
      </w:r>
      <w:r w:rsidRPr="00715148">
        <w:rPr>
          <w:rFonts w:ascii="Arial" w:hAnsi="Arial" w:cs="Arial"/>
        </w:rPr>
        <w:t xml:space="preserve"> years</w:t>
      </w:r>
      <w:r w:rsidR="006C4773">
        <w:rPr>
          <w:rFonts w:ascii="Arial" w:hAnsi="Arial" w:cs="Arial"/>
        </w:rPr>
        <w:t xml:space="preserve"> after concerns were raised regarding its duration</w:t>
      </w:r>
      <w:r w:rsidRPr="00715148">
        <w:rPr>
          <w:rFonts w:ascii="Arial" w:hAnsi="Arial" w:cs="Arial"/>
        </w:rPr>
        <w:t>.</w:t>
      </w:r>
    </w:p>
    <w:p w:rsidR="001B7A20" w:rsidRPr="001B7A20" w:rsidRDefault="00A126BD" w:rsidP="001B7A20">
      <w:pPr>
        <w:pStyle w:val="ListParagraph"/>
        <w:numPr>
          <w:ilvl w:val="0"/>
          <w:numId w:val="2"/>
        </w:numPr>
        <w:spacing w:after="240" w:line="360" w:lineRule="auto"/>
        <w:ind w:left="0" w:firstLine="0"/>
        <w:jc w:val="both"/>
        <w:rPr>
          <w:rFonts w:ascii="Arial" w:hAnsi="Arial" w:cs="Arial"/>
        </w:rPr>
      </w:pPr>
      <w:r>
        <w:rPr>
          <w:rFonts w:ascii="Arial" w:hAnsi="Arial" w:cs="Arial"/>
        </w:rPr>
        <w:t>We have further ordered that o</w:t>
      </w:r>
      <w:r w:rsidR="001B7A20" w:rsidRPr="001B7A20">
        <w:rPr>
          <w:rFonts w:ascii="Arial" w:hAnsi="Arial" w:cs="Arial"/>
        </w:rPr>
        <w:t xml:space="preserve">nce the terms of the toll manufacturing agreement have been agreed with the </w:t>
      </w:r>
      <w:r w:rsidR="001B7A20">
        <w:rPr>
          <w:rFonts w:ascii="Arial" w:hAnsi="Arial" w:cs="Arial"/>
        </w:rPr>
        <w:t>relevant p</w:t>
      </w:r>
      <w:r w:rsidR="001B7A20" w:rsidRPr="001B7A20">
        <w:rPr>
          <w:rFonts w:ascii="Arial" w:hAnsi="Arial" w:cs="Arial"/>
        </w:rPr>
        <w:t xml:space="preserve">urchaser, a copy of the toll manufacturing agreement </w:t>
      </w:r>
      <w:r w:rsidR="001B7A20">
        <w:rPr>
          <w:rFonts w:ascii="Arial" w:hAnsi="Arial" w:cs="Arial"/>
        </w:rPr>
        <w:t xml:space="preserve">must </w:t>
      </w:r>
      <w:r w:rsidR="001B7A20" w:rsidRPr="001B7A20">
        <w:rPr>
          <w:rFonts w:ascii="Arial" w:hAnsi="Arial" w:cs="Arial"/>
        </w:rPr>
        <w:t xml:space="preserve">be provided to the Commission for its consideration and approval to ensure that the agreement complies with the terms and spirit of the </w:t>
      </w:r>
      <w:r w:rsidR="001B7A20">
        <w:rPr>
          <w:rFonts w:ascii="Arial" w:hAnsi="Arial" w:cs="Arial"/>
        </w:rPr>
        <w:t>m</w:t>
      </w:r>
      <w:r w:rsidR="001B7A20" w:rsidRPr="001B7A20">
        <w:rPr>
          <w:rFonts w:ascii="Arial" w:hAnsi="Arial" w:cs="Arial"/>
        </w:rPr>
        <w:t xml:space="preserve">erger </w:t>
      </w:r>
      <w:r w:rsidR="001B7A20">
        <w:rPr>
          <w:rFonts w:ascii="Arial" w:hAnsi="Arial" w:cs="Arial"/>
        </w:rPr>
        <w:t>a</w:t>
      </w:r>
      <w:r w:rsidR="001B7A20" w:rsidRPr="001B7A20">
        <w:rPr>
          <w:rFonts w:ascii="Arial" w:hAnsi="Arial" w:cs="Arial"/>
        </w:rPr>
        <w:t xml:space="preserve">pproval </w:t>
      </w:r>
      <w:r w:rsidR="001B7A20">
        <w:rPr>
          <w:rFonts w:ascii="Arial" w:hAnsi="Arial" w:cs="Arial"/>
        </w:rPr>
        <w:t>c</w:t>
      </w:r>
      <w:r w:rsidR="001B7A20" w:rsidRPr="001B7A20">
        <w:rPr>
          <w:rFonts w:ascii="Arial" w:hAnsi="Arial" w:cs="Arial"/>
        </w:rPr>
        <w:t xml:space="preserve">onditions </w:t>
      </w:r>
      <w:r w:rsidR="006C4773">
        <w:rPr>
          <w:rFonts w:ascii="Arial" w:hAnsi="Arial" w:cs="Arial"/>
        </w:rPr>
        <w:t xml:space="preserve">that we have </w:t>
      </w:r>
      <w:r w:rsidR="001B7A20" w:rsidRPr="001B7A20">
        <w:rPr>
          <w:rFonts w:ascii="Arial" w:hAnsi="Arial" w:cs="Arial"/>
        </w:rPr>
        <w:t xml:space="preserve">imposed. </w:t>
      </w:r>
    </w:p>
    <w:p w:rsidR="00C26856" w:rsidRDefault="006C4773" w:rsidP="00CA318F">
      <w:pPr>
        <w:pStyle w:val="ListParagraph"/>
        <w:numPr>
          <w:ilvl w:val="0"/>
          <w:numId w:val="2"/>
        </w:numPr>
        <w:spacing w:after="240" w:line="360" w:lineRule="auto"/>
        <w:ind w:left="0" w:firstLine="0"/>
        <w:jc w:val="both"/>
        <w:rPr>
          <w:rFonts w:ascii="Arial" w:hAnsi="Arial" w:cs="Arial"/>
        </w:rPr>
      </w:pPr>
      <w:r>
        <w:rPr>
          <w:rFonts w:ascii="Arial" w:hAnsi="Arial" w:cs="Arial"/>
        </w:rPr>
        <w:t>Furthermore, d</w:t>
      </w:r>
      <w:r w:rsidR="00CA318F" w:rsidRPr="00A44AD3">
        <w:rPr>
          <w:rFonts w:ascii="Arial" w:hAnsi="Arial" w:cs="Arial"/>
        </w:rPr>
        <w:t xml:space="preserve">uring the course of the tolling agreement, the acquirer shall be entitled to consult with any Arkema </w:t>
      </w:r>
      <w:r>
        <w:rPr>
          <w:rFonts w:ascii="Arial" w:hAnsi="Arial" w:cs="Arial"/>
        </w:rPr>
        <w:t xml:space="preserve">SA </w:t>
      </w:r>
      <w:r w:rsidR="00CA318F" w:rsidRPr="00A44AD3">
        <w:rPr>
          <w:rFonts w:ascii="Arial" w:hAnsi="Arial" w:cs="Arial"/>
        </w:rPr>
        <w:t>employee</w:t>
      </w:r>
      <w:r w:rsidR="004C5029">
        <w:rPr>
          <w:rFonts w:ascii="Arial" w:hAnsi="Arial" w:cs="Arial"/>
        </w:rPr>
        <w:t>(</w:t>
      </w:r>
      <w:r w:rsidR="00CA318F" w:rsidRPr="00A44AD3">
        <w:rPr>
          <w:rFonts w:ascii="Arial" w:hAnsi="Arial" w:cs="Arial"/>
        </w:rPr>
        <w:t>s</w:t>
      </w:r>
      <w:r w:rsidR="004C5029">
        <w:rPr>
          <w:rFonts w:ascii="Arial" w:hAnsi="Arial" w:cs="Arial"/>
        </w:rPr>
        <w:t>)</w:t>
      </w:r>
      <w:r w:rsidR="00CA318F" w:rsidRPr="00A44AD3">
        <w:rPr>
          <w:rFonts w:ascii="Arial" w:hAnsi="Arial" w:cs="Arial"/>
        </w:rPr>
        <w:t xml:space="preserve"> by prior arrangement and for a reasonable period of time (subject to appropriate compensation as agreed or determined on a reasonable basis) in order to gain the necessary knowledge required to produce the Arkema </w:t>
      </w:r>
      <w:r>
        <w:rPr>
          <w:rFonts w:ascii="Arial" w:hAnsi="Arial" w:cs="Arial"/>
        </w:rPr>
        <w:t xml:space="preserve">SA </w:t>
      </w:r>
      <w:r w:rsidR="00CA318F" w:rsidRPr="00A44AD3">
        <w:rPr>
          <w:rFonts w:ascii="Arial" w:hAnsi="Arial" w:cs="Arial"/>
        </w:rPr>
        <w:t xml:space="preserve">UPR products which form the subject of that agreement. </w:t>
      </w:r>
    </w:p>
    <w:p w:rsidR="00CA318F" w:rsidRPr="00C26856" w:rsidRDefault="00CA318F" w:rsidP="00CA318F">
      <w:pPr>
        <w:pStyle w:val="ListParagraph"/>
        <w:numPr>
          <w:ilvl w:val="0"/>
          <w:numId w:val="2"/>
        </w:numPr>
        <w:spacing w:after="240" w:line="360" w:lineRule="auto"/>
        <w:ind w:left="0" w:firstLine="0"/>
        <w:jc w:val="both"/>
        <w:rPr>
          <w:rFonts w:ascii="Arial" w:hAnsi="Arial" w:cs="Arial"/>
        </w:rPr>
      </w:pPr>
      <w:r w:rsidRPr="00C26856">
        <w:rPr>
          <w:rFonts w:ascii="Arial" w:hAnsi="Arial" w:cs="Arial"/>
        </w:rPr>
        <w:t xml:space="preserve">In addition, Ferro must not, for a defined period, enforce </w:t>
      </w:r>
      <w:r w:rsidR="00C26856" w:rsidRPr="00C26856">
        <w:rPr>
          <w:rFonts w:ascii="Arial" w:hAnsi="Arial" w:cs="Arial"/>
        </w:rPr>
        <w:t xml:space="preserve">any existing non-compete or similar restraint of trade obligation, nor will it require any existing employee(s) of Arkema </w:t>
      </w:r>
      <w:r w:rsidR="006C4773">
        <w:rPr>
          <w:rFonts w:ascii="Arial" w:hAnsi="Arial" w:cs="Arial"/>
        </w:rPr>
        <w:t xml:space="preserve">SA </w:t>
      </w:r>
      <w:r w:rsidR="00C26856" w:rsidRPr="00C26856">
        <w:rPr>
          <w:rFonts w:ascii="Arial" w:hAnsi="Arial" w:cs="Arial"/>
        </w:rPr>
        <w:t xml:space="preserve">to conclude any new restraints which would preclude them from taking up employment with the </w:t>
      </w:r>
      <w:r w:rsidRPr="00C26856">
        <w:rPr>
          <w:rFonts w:ascii="Arial" w:hAnsi="Arial" w:cs="Arial"/>
        </w:rPr>
        <w:t xml:space="preserve">acquirer or from participating in the purchase of the divested business. </w:t>
      </w:r>
    </w:p>
    <w:p w:rsidR="00FE2933" w:rsidRPr="00BC4FFA" w:rsidRDefault="00A126BD" w:rsidP="00FE2933">
      <w:pPr>
        <w:pStyle w:val="ListParagraph"/>
        <w:numPr>
          <w:ilvl w:val="0"/>
          <w:numId w:val="2"/>
        </w:numPr>
        <w:spacing w:after="240" w:line="360" w:lineRule="auto"/>
        <w:ind w:left="0" w:firstLine="0"/>
        <w:jc w:val="both"/>
        <w:rPr>
          <w:rFonts w:ascii="Arial" w:hAnsi="Arial" w:cs="Arial"/>
        </w:rPr>
      </w:pPr>
      <w:r>
        <w:rPr>
          <w:rFonts w:ascii="Arial" w:hAnsi="Arial" w:cs="Arial"/>
        </w:rPr>
        <w:t xml:space="preserve">With regards to the protection of confidential information (see paragraph </w:t>
      </w:r>
      <w:r w:rsidR="002C39D2" w:rsidRPr="008279F7">
        <w:rPr>
          <w:rFonts w:ascii="Arial" w:hAnsi="Arial" w:cs="Arial"/>
        </w:rPr>
        <w:t>10</w:t>
      </w:r>
      <w:r w:rsidR="0012610F" w:rsidRPr="008279F7">
        <w:rPr>
          <w:rFonts w:ascii="Arial" w:hAnsi="Arial" w:cs="Arial"/>
        </w:rPr>
        <w:t>1</w:t>
      </w:r>
      <w:r>
        <w:rPr>
          <w:rFonts w:ascii="Arial" w:hAnsi="Arial" w:cs="Arial"/>
        </w:rPr>
        <w:t xml:space="preserve"> above) our order </w:t>
      </w:r>
      <w:r w:rsidR="004B2022" w:rsidRPr="00BC4FFA">
        <w:rPr>
          <w:rFonts w:ascii="Arial" w:hAnsi="Arial" w:cs="Arial"/>
        </w:rPr>
        <w:t xml:space="preserve">requires </w:t>
      </w:r>
      <w:r w:rsidR="00FE2933" w:rsidRPr="00BC4FFA">
        <w:rPr>
          <w:rFonts w:ascii="Arial" w:hAnsi="Arial" w:cs="Arial"/>
        </w:rPr>
        <w:t>Ferro to</w:t>
      </w:r>
      <w:r>
        <w:rPr>
          <w:rFonts w:ascii="Arial" w:hAnsi="Arial" w:cs="Arial"/>
        </w:rPr>
        <w:t>,</w:t>
      </w:r>
      <w:r w:rsidR="00FE2933" w:rsidRPr="00BC4FFA">
        <w:rPr>
          <w:rFonts w:ascii="Arial" w:hAnsi="Arial" w:cs="Arial"/>
        </w:rPr>
        <w:t xml:space="preserve"> within a limited time frame</w:t>
      </w:r>
      <w:r>
        <w:rPr>
          <w:rFonts w:ascii="Arial" w:hAnsi="Arial" w:cs="Arial"/>
        </w:rPr>
        <w:t>,</w:t>
      </w:r>
      <w:r w:rsidR="00FE2933" w:rsidRPr="00BC4FFA">
        <w:rPr>
          <w:rFonts w:ascii="Arial" w:hAnsi="Arial" w:cs="Arial"/>
        </w:rPr>
        <w:t xml:space="preserve"> </w:t>
      </w:r>
      <w:r w:rsidR="00BC4FFA" w:rsidRPr="00BC4FFA">
        <w:rPr>
          <w:rFonts w:ascii="Arial" w:hAnsi="Arial" w:cs="Arial"/>
        </w:rPr>
        <w:t xml:space="preserve">ensure that (i) all Arkema employees sign a confidentiality undertaking that they will not disclose any of the information contained in the assets relating to the divestment business to any employee(s), including management, of Ferro, its shareholders and/or its subsidiaries; and (ii) </w:t>
      </w:r>
      <w:r w:rsidR="00FE2933" w:rsidRPr="00BC4FFA">
        <w:rPr>
          <w:rFonts w:ascii="Arial" w:hAnsi="Arial" w:cs="Arial"/>
        </w:rPr>
        <w:t xml:space="preserve">any employee who is employed at the Arkema plant and who is involved in the toll manufacturing of the previous Arkema formulations on behalf of a third party, will sign a </w:t>
      </w:r>
      <w:r w:rsidR="00BC4FFA" w:rsidRPr="00BC4FFA">
        <w:rPr>
          <w:rFonts w:ascii="Arial" w:hAnsi="Arial" w:cs="Arial"/>
        </w:rPr>
        <w:t xml:space="preserve">further </w:t>
      </w:r>
      <w:r w:rsidR="00FE2933" w:rsidRPr="00BC4FFA">
        <w:rPr>
          <w:rFonts w:ascii="Arial" w:hAnsi="Arial" w:cs="Arial"/>
        </w:rPr>
        <w:t xml:space="preserve">confidentiality undertaking that they will not disclose any of the information </w:t>
      </w:r>
      <w:r w:rsidR="00FE2933" w:rsidRPr="00BC4FFA">
        <w:rPr>
          <w:rFonts w:ascii="Arial" w:hAnsi="Arial" w:cs="Arial"/>
        </w:rPr>
        <w:lastRenderedPageBreak/>
        <w:t>contained in the assets relating to the divestment business to any employee(s), including management, of Ferro, its shareholders and/or its subsidiaries.</w:t>
      </w:r>
    </w:p>
    <w:p w:rsidR="004B2022" w:rsidRPr="004B2022" w:rsidRDefault="004B2022" w:rsidP="0080582B">
      <w:pPr>
        <w:pStyle w:val="ListParagraph"/>
        <w:numPr>
          <w:ilvl w:val="0"/>
          <w:numId w:val="2"/>
        </w:numPr>
        <w:spacing w:after="240" w:line="360" w:lineRule="auto"/>
        <w:ind w:left="0" w:firstLine="0"/>
        <w:jc w:val="both"/>
        <w:rPr>
          <w:rFonts w:ascii="Arial" w:hAnsi="Arial" w:cs="Arial"/>
        </w:rPr>
      </w:pPr>
      <w:r>
        <w:rPr>
          <w:rFonts w:ascii="Arial" w:hAnsi="Arial" w:cs="Arial"/>
        </w:rPr>
        <w:t xml:space="preserve">Regarding </w:t>
      </w:r>
      <w:r w:rsidR="00A126BD">
        <w:rPr>
          <w:rFonts w:ascii="Arial" w:hAnsi="Arial" w:cs="Arial"/>
        </w:rPr>
        <w:t xml:space="preserve">potential </w:t>
      </w:r>
      <w:r>
        <w:rPr>
          <w:rFonts w:ascii="Arial" w:hAnsi="Arial" w:cs="Arial"/>
        </w:rPr>
        <w:t>alternative tolling arrangements</w:t>
      </w:r>
      <w:r w:rsidR="00A126BD">
        <w:rPr>
          <w:rFonts w:ascii="Arial" w:hAnsi="Arial" w:cs="Arial"/>
        </w:rPr>
        <w:t xml:space="preserve"> available to the </w:t>
      </w:r>
      <w:r w:rsidR="00DC3160">
        <w:rPr>
          <w:rFonts w:ascii="Arial" w:hAnsi="Arial" w:cs="Arial"/>
        </w:rPr>
        <w:t xml:space="preserve">relevant </w:t>
      </w:r>
      <w:r w:rsidR="00A126BD" w:rsidRPr="00A44AD3">
        <w:rPr>
          <w:rFonts w:ascii="Arial" w:hAnsi="Arial" w:cs="Arial"/>
        </w:rPr>
        <w:t>acquirer</w:t>
      </w:r>
      <w:r>
        <w:rPr>
          <w:rFonts w:ascii="Arial" w:hAnsi="Arial" w:cs="Arial"/>
        </w:rPr>
        <w:t xml:space="preserve">, </w:t>
      </w:r>
      <w:r w:rsidR="00A126BD">
        <w:rPr>
          <w:rFonts w:ascii="Arial" w:hAnsi="Arial" w:cs="Arial"/>
        </w:rPr>
        <w:t xml:space="preserve">we note that </w:t>
      </w:r>
      <w:r w:rsidR="008F048F">
        <w:rPr>
          <w:rFonts w:ascii="Arial" w:hAnsi="Arial" w:cs="Arial"/>
        </w:rPr>
        <w:t>Moo</w:t>
      </w:r>
      <w:r w:rsidR="00793D34" w:rsidRPr="00315EA5">
        <w:rPr>
          <w:rFonts w:ascii="Arial" w:hAnsi="Arial" w:cs="Arial"/>
        </w:rPr>
        <w:t>sa indicated that KZN Resins would be prepared to toll manufacture – “</w:t>
      </w:r>
      <w:r w:rsidR="00793D34" w:rsidRPr="008F048F">
        <w:rPr>
          <w:rFonts w:ascii="Arial" w:hAnsi="Arial" w:cs="Arial"/>
          <w:i/>
        </w:rPr>
        <w:t>if someone wanted to toll manufacture it and we were given a fair opportunity to toll manufacture it as well, I would be fine with that</w:t>
      </w:r>
      <w:r w:rsidR="00793D34" w:rsidRPr="00315EA5">
        <w:rPr>
          <w:rFonts w:ascii="Arial" w:hAnsi="Arial" w:cs="Arial"/>
        </w:rPr>
        <w:t>”</w:t>
      </w:r>
      <w:r w:rsidR="00793D34">
        <w:rPr>
          <w:rFonts w:ascii="Arial" w:hAnsi="Arial" w:cs="Arial"/>
        </w:rPr>
        <w:t>.</w:t>
      </w:r>
      <w:r w:rsidR="00793D34">
        <w:rPr>
          <w:rStyle w:val="FootnoteReference"/>
          <w:rFonts w:ascii="Arial" w:hAnsi="Arial" w:cs="Arial"/>
        </w:rPr>
        <w:footnoteReference w:id="158"/>
      </w:r>
      <w:r w:rsidR="00793D34" w:rsidRPr="00315EA5">
        <w:rPr>
          <w:rFonts w:ascii="Arial" w:hAnsi="Arial" w:cs="Arial"/>
        </w:rPr>
        <w:t xml:space="preserve">  In a different but analogous context, Moosa indicated that adding additional volumes to </w:t>
      </w:r>
      <w:r w:rsidR="002A18CA">
        <w:rPr>
          <w:rFonts w:ascii="Arial" w:hAnsi="Arial" w:cs="Arial"/>
        </w:rPr>
        <w:t xml:space="preserve">KNZ Resins’ </w:t>
      </w:r>
      <w:r w:rsidR="00793D34" w:rsidRPr="00315EA5">
        <w:rPr>
          <w:rFonts w:ascii="Arial" w:hAnsi="Arial" w:cs="Arial"/>
        </w:rPr>
        <w:t>plant would enable him to increase his efficiencies and therefore his overall profitability</w:t>
      </w:r>
      <w:r w:rsidR="00793D34">
        <w:rPr>
          <w:rFonts w:ascii="Arial" w:hAnsi="Arial" w:cs="Arial"/>
        </w:rPr>
        <w:t>.</w:t>
      </w:r>
      <w:r w:rsidR="00793D34" w:rsidRPr="00B20401">
        <w:rPr>
          <w:rFonts w:ascii="Arial" w:hAnsi="Arial" w:cs="Arial"/>
        </w:rPr>
        <w:t xml:space="preserve">  </w:t>
      </w:r>
      <w:r>
        <w:rPr>
          <w:rFonts w:ascii="Arial" w:hAnsi="Arial" w:cs="Arial"/>
        </w:rPr>
        <w:t xml:space="preserve">He stated </w:t>
      </w:r>
      <w:r w:rsidRPr="004B2022">
        <w:rPr>
          <w:rFonts w:ascii="Arial" w:hAnsi="Arial" w:cs="Arial"/>
        </w:rPr>
        <w:t>“</w:t>
      </w:r>
      <w:r w:rsidRPr="004B2022">
        <w:rPr>
          <w:rFonts w:ascii="Arial" w:hAnsi="Arial" w:cs="Arial"/>
          <w:i/>
        </w:rPr>
        <w:t>obviously if you are adding more capacity, then you are increasing your volumes, which brings down your per kg … it makes you a bit more efficient and brings down your cost per kilo as well, so economy of scale as well</w:t>
      </w:r>
      <w:r w:rsidRPr="004B2022">
        <w:rPr>
          <w:rFonts w:ascii="Arial" w:hAnsi="Arial" w:cs="Arial"/>
        </w:rPr>
        <w:t>.”</w:t>
      </w:r>
      <w:r w:rsidRPr="004B2022">
        <w:rPr>
          <w:rStyle w:val="FootnoteReference"/>
          <w:rFonts w:ascii="Arial" w:hAnsi="Arial" w:cs="Arial"/>
        </w:rPr>
        <w:t xml:space="preserve"> </w:t>
      </w:r>
      <w:r>
        <w:rPr>
          <w:rStyle w:val="FootnoteReference"/>
          <w:rFonts w:ascii="Arial" w:hAnsi="Arial" w:cs="Arial"/>
        </w:rPr>
        <w:footnoteReference w:id="159"/>
      </w:r>
    </w:p>
    <w:p w:rsidR="00CA318F" w:rsidRPr="004B2022" w:rsidRDefault="006C4773" w:rsidP="0080582B">
      <w:pPr>
        <w:pStyle w:val="ListParagraph"/>
        <w:numPr>
          <w:ilvl w:val="0"/>
          <w:numId w:val="2"/>
        </w:numPr>
        <w:spacing w:after="240" w:line="360" w:lineRule="auto"/>
        <w:ind w:left="0" w:firstLine="0"/>
        <w:jc w:val="both"/>
        <w:rPr>
          <w:rFonts w:ascii="Arial" w:hAnsi="Arial" w:cs="Arial"/>
        </w:rPr>
      </w:pPr>
      <w:r>
        <w:rPr>
          <w:rFonts w:ascii="Arial" w:hAnsi="Arial" w:cs="Arial"/>
        </w:rPr>
        <w:t>Th</w:t>
      </w:r>
      <w:r w:rsidRPr="004B2022">
        <w:rPr>
          <w:rFonts w:ascii="Arial" w:hAnsi="Arial" w:cs="Arial"/>
        </w:rPr>
        <w:t>us</w:t>
      </w:r>
      <w:r>
        <w:rPr>
          <w:rFonts w:ascii="Arial" w:hAnsi="Arial" w:cs="Arial"/>
        </w:rPr>
        <w:t>,</w:t>
      </w:r>
      <w:r w:rsidRPr="004B2022">
        <w:rPr>
          <w:rFonts w:ascii="Arial" w:hAnsi="Arial" w:cs="Arial"/>
        </w:rPr>
        <w:t xml:space="preserve"> </w:t>
      </w:r>
      <w:r>
        <w:rPr>
          <w:rFonts w:ascii="Arial" w:hAnsi="Arial" w:cs="Arial"/>
        </w:rPr>
        <w:t>t</w:t>
      </w:r>
      <w:r w:rsidR="00CA318F" w:rsidRPr="004B2022">
        <w:rPr>
          <w:rFonts w:ascii="Arial" w:hAnsi="Arial" w:cs="Arial"/>
        </w:rPr>
        <w:t xml:space="preserve">he relevant acquirer </w:t>
      </w:r>
      <w:r>
        <w:rPr>
          <w:rFonts w:ascii="Arial" w:hAnsi="Arial" w:cs="Arial"/>
        </w:rPr>
        <w:t xml:space="preserve">of </w:t>
      </w:r>
      <w:proofErr w:type="gramStart"/>
      <w:r>
        <w:rPr>
          <w:rFonts w:ascii="Arial" w:hAnsi="Arial" w:cs="Arial"/>
        </w:rPr>
        <w:t xml:space="preserve">the </w:t>
      </w:r>
      <w:r w:rsidR="00DC3160">
        <w:rPr>
          <w:rFonts w:ascii="Arial" w:hAnsi="Arial" w:cs="Arial"/>
        </w:rPr>
        <w:t>to</w:t>
      </w:r>
      <w:proofErr w:type="gramEnd"/>
      <w:r w:rsidR="00DC3160">
        <w:rPr>
          <w:rFonts w:ascii="Arial" w:hAnsi="Arial" w:cs="Arial"/>
        </w:rPr>
        <w:t xml:space="preserve"> be </w:t>
      </w:r>
      <w:r>
        <w:rPr>
          <w:rFonts w:ascii="Arial" w:hAnsi="Arial" w:cs="Arial"/>
        </w:rPr>
        <w:t xml:space="preserve">divested intangible assets </w:t>
      </w:r>
      <w:r w:rsidR="00CA318F" w:rsidRPr="004B2022">
        <w:rPr>
          <w:rFonts w:ascii="Arial" w:hAnsi="Arial" w:cs="Arial"/>
        </w:rPr>
        <w:t xml:space="preserve">would have </w:t>
      </w:r>
      <w:r>
        <w:rPr>
          <w:rFonts w:ascii="Arial" w:hAnsi="Arial" w:cs="Arial"/>
        </w:rPr>
        <w:t xml:space="preserve">certain </w:t>
      </w:r>
      <w:r w:rsidR="00CA318F" w:rsidRPr="004B2022">
        <w:rPr>
          <w:rFonts w:ascii="Arial" w:hAnsi="Arial" w:cs="Arial"/>
        </w:rPr>
        <w:t>options regarding immediate and future tolling arrangements.</w:t>
      </w:r>
      <w:r w:rsidR="004B2022" w:rsidRPr="004B2022">
        <w:rPr>
          <w:rFonts w:ascii="Arial" w:hAnsi="Arial" w:cs="Arial"/>
        </w:rPr>
        <w:t xml:space="preserve"> </w:t>
      </w:r>
      <w:r w:rsidR="00CA318F" w:rsidRPr="004B2022">
        <w:rPr>
          <w:rFonts w:ascii="Arial" w:hAnsi="Arial" w:cs="Arial"/>
        </w:rPr>
        <w:t xml:space="preserve">In practical terms </w:t>
      </w:r>
      <w:r w:rsidR="005217CA">
        <w:rPr>
          <w:rFonts w:ascii="Arial" w:hAnsi="Arial" w:cs="Arial"/>
        </w:rPr>
        <w:t xml:space="preserve">this </w:t>
      </w:r>
      <w:r w:rsidR="00793D34" w:rsidRPr="004B2022">
        <w:rPr>
          <w:rFonts w:ascii="Arial" w:hAnsi="Arial" w:cs="Arial"/>
        </w:rPr>
        <w:t xml:space="preserve">will permit </w:t>
      </w:r>
      <w:r w:rsidR="00CA318F" w:rsidRPr="004B2022">
        <w:rPr>
          <w:rFonts w:ascii="Arial" w:hAnsi="Arial" w:cs="Arial"/>
        </w:rPr>
        <w:t xml:space="preserve">the relevant acquirer </w:t>
      </w:r>
      <w:r w:rsidR="00793D34" w:rsidRPr="004B2022">
        <w:rPr>
          <w:rFonts w:ascii="Arial" w:hAnsi="Arial" w:cs="Arial"/>
        </w:rPr>
        <w:t>to supply Arkema</w:t>
      </w:r>
      <w:r>
        <w:rPr>
          <w:rFonts w:ascii="Arial" w:hAnsi="Arial" w:cs="Arial"/>
        </w:rPr>
        <w:t xml:space="preserve"> SA</w:t>
      </w:r>
      <w:r w:rsidR="00793D34" w:rsidRPr="004B2022">
        <w:rPr>
          <w:rFonts w:ascii="Arial" w:hAnsi="Arial" w:cs="Arial"/>
        </w:rPr>
        <w:t>’s UPR customer base until such time as its own manufacturing operations are operational or it has concluded a supply agreement with another domestic or international UPR manufacturer</w:t>
      </w:r>
      <w:r>
        <w:rPr>
          <w:rFonts w:ascii="Arial" w:hAnsi="Arial" w:cs="Arial"/>
        </w:rPr>
        <w:t>,</w:t>
      </w:r>
      <w:r w:rsidR="00793D34" w:rsidRPr="004B2022">
        <w:rPr>
          <w:rFonts w:ascii="Arial" w:hAnsi="Arial" w:cs="Arial"/>
        </w:rPr>
        <w:t xml:space="preserve"> if it so wishes.  </w:t>
      </w:r>
    </w:p>
    <w:p w:rsidR="00C9278D" w:rsidRPr="00C9278D" w:rsidRDefault="00C9278D" w:rsidP="00C9278D">
      <w:pPr>
        <w:pStyle w:val="ListParagraph"/>
        <w:spacing w:after="240" w:line="360" w:lineRule="auto"/>
        <w:ind w:left="0"/>
        <w:jc w:val="both"/>
        <w:rPr>
          <w:rFonts w:ascii="Arial" w:hAnsi="Arial" w:cs="Arial"/>
          <w:b/>
          <w:i/>
        </w:rPr>
      </w:pPr>
      <w:r w:rsidRPr="00C9278D">
        <w:rPr>
          <w:rFonts w:ascii="Arial" w:hAnsi="Arial" w:cs="Arial"/>
          <w:b/>
          <w:i/>
        </w:rPr>
        <w:t>Conclusion</w:t>
      </w:r>
    </w:p>
    <w:p w:rsidR="00204076" w:rsidRPr="00F02DA6" w:rsidRDefault="00793D34" w:rsidP="00204076">
      <w:pPr>
        <w:pStyle w:val="ListParagraph"/>
        <w:numPr>
          <w:ilvl w:val="0"/>
          <w:numId w:val="2"/>
        </w:numPr>
        <w:spacing w:after="240" w:line="360" w:lineRule="auto"/>
        <w:ind w:left="0" w:firstLine="0"/>
        <w:jc w:val="both"/>
        <w:rPr>
          <w:rFonts w:ascii="Arial" w:hAnsi="Arial" w:cs="Arial"/>
        </w:rPr>
      </w:pPr>
      <w:r>
        <w:rPr>
          <w:rFonts w:ascii="Arial" w:hAnsi="Arial" w:cs="Arial"/>
        </w:rPr>
        <w:t>We conclude that</w:t>
      </w:r>
      <w:r w:rsidRPr="005571AB">
        <w:rPr>
          <w:rFonts w:ascii="Arial" w:hAnsi="Arial" w:cs="Arial"/>
        </w:rPr>
        <w:t xml:space="preserve"> </w:t>
      </w:r>
      <w:r>
        <w:rPr>
          <w:rFonts w:ascii="Arial" w:hAnsi="Arial" w:cs="Arial"/>
        </w:rPr>
        <w:t xml:space="preserve">the </w:t>
      </w:r>
      <w:r w:rsidR="000E0D4D">
        <w:rPr>
          <w:rFonts w:ascii="Arial" w:hAnsi="Arial" w:cs="Arial"/>
        </w:rPr>
        <w:t xml:space="preserve">tendered </w:t>
      </w:r>
      <w:r w:rsidR="0007431E">
        <w:rPr>
          <w:rFonts w:ascii="Arial" w:hAnsi="Arial" w:cs="Arial"/>
        </w:rPr>
        <w:t xml:space="preserve">two-year </w:t>
      </w:r>
      <w:r>
        <w:rPr>
          <w:rFonts w:ascii="Arial" w:hAnsi="Arial" w:cs="Arial"/>
        </w:rPr>
        <w:t xml:space="preserve">pricing remedy, after certain </w:t>
      </w:r>
      <w:r w:rsidR="002C39D2">
        <w:rPr>
          <w:rFonts w:ascii="Arial" w:hAnsi="Arial" w:cs="Arial"/>
        </w:rPr>
        <w:t>refinements/</w:t>
      </w:r>
      <w:r>
        <w:rPr>
          <w:rFonts w:ascii="Arial" w:hAnsi="Arial" w:cs="Arial"/>
        </w:rPr>
        <w:t xml:space="preserve">enhancements, together with the </w:t>
      </w:r>
      <w:r w:rsidR="0007431E">
        <w:rPr>
          <w:rFonts w:ascii="Arial" w:hAnsi="Arial" w:cs="Arial"/>
        </w:rPr>
        <w:t xml:space="preserve">divestiture </w:t>
      </w:r>
      <w:r w:rsidR="000E0D4D">
        <w:rPr>
          <w:rFonts w:ascii="Arial" w:hAnsi="Arial" w:cs="Arial"/>
        </w:rPr>
        <w:t>remedy</w:t>
      </w:r>
      <w:r w:rsidR="00B83783">
        <w:rPr>
          <w:rFonts w:ascii="Arial" w:hAnsi="Arial" w:cs="Arial"/>
        </w:rPr>
        <w:t xml:space="preserve"> (which specifically includes the mining UPR intangible assets of Arkema SA)</w:t>
      </w:r>
      <w:r w:rsidR="00D078EF">
        <w:rPr>
          <w:rFonts w:ascii="Arial" w:hAnsi="Arial" w:cs="Arial"/>
        </w:rPr>
        <w:t xml:space="preserve">, again after certain </w:t>
      </w:r>
      <w:r w:rsidR="005217CA">
        <w:rPr>
          <w:rFonts w:ascii="Arial" w:hAnsi="Arial" w:cs="Arial"/>
        </w:rPr>
        <w:t xml:space="preserve">comments from the Commission and further </w:t>
      </w:r>
      <w:r w:rsidR="002C39D2">
        <w:rPr>
          <w:rFonts w:ascii="Arial" w:hAnsi="Arial" w:cs="Arial"/>
        </w:rPr>
        <w:t>refinements/</w:t>
      </w:r>
      <w:r w:rsidR="00D078EF">
        <w:rPr>
          <w:rFonts w:ascii="Arial" w:hAnsi="Arial" w:cs="Arial"/>
        </w:rPr>
        <w:t>enhancement</w:t>
      </w:r>
      <w:r w:rsidR="002C39D2">
        <w:rPr>
          <w:rFonts w:ascii="Arial" w:hAnsi="Arial" w:cs="Arial"/>
        </w:rPr>
        <w:t>s</w:t>
      </w:r>
      <w:r w:rsidR="00D078EF">
        <w:rPr>
          <w:rFonts w:ascii="Arial" w:hAnsi="Arial" w:cs="Arial"/>
        </w:rPr>
        <w:t>,</w:t>
      </w:r>
      <w:r w:rsidR="0007431E">
        <w:rPr>
          <w:rFonts w:ascii="Arial" w:hAnsi="Arial" w:cs="Arial"/>
        </w:rPr>
        <w:t xml:space="preserve"> </w:t>
      </w:r>
      <w:r>
        <w:rPr>
          <w:rFonts w:ascii="Arial" w:hAnsi="Arial" w:cs="Arial"/>
        </w:rPr>
        <w:t>adequately address</w:t>
      </w:r>
      <w:r w:rsidR="00204076">
        <w:rPr>
          <w:rFonts w:ascii="Arial" w:hAnsi="Arial" w:cs="Arial"/>
        </w:rPr>
        <w:t>es</w:t>
      </w:r>
      <w:r>
        <w:rPr>
          <w:rFonts w:ascii="Arial" w:hAnsi="Arial" w:cs="Arial"/>
        </w:rPr>
        <w:t xml:space="preserve"> the competition concerns </w:t>
      </w:r>
      <w:r w:rsidRPr="00F744C3">
        <w:rPr>
          <w:rFonts w:ascii="Arial" w:hAnsi="Arial" w:cs="Arial"/>
        </w:rPr>
        <w:t xml:space="preserve">arising </w:t>
      </w:r>
      <w:r w:rsidR="00D078EF">
        <w:rPr>
          <w:rFonts w:ascii="Arial" w:hAnsi="Arial" w:cs="Arial"/>
        </w:rPr>
        <w:t xml:space="preserve">from </w:t>
      </w:r>
      <w:r>
        <w:rPr>
          <w:rFonts w:ascii="Arial" w:hAnsi="Arial" w:cs="Arial"/>
        </w:rPr>
        <w:t xml:space="preserve">the proposed transaction </w:t>
      </w:r>
      <w:r w:rsidRPr="00F744C3">
        <w:rPr>
          <w:rFonts w:ascii="Arial" w:hAnsi="Arial" w:cs="Arial"/>
        </w:rPr>
        <w:t xml:space="preserve">in relation to </w:t>
      </w:r>
      <w:r w:rsidR="005217CA">
        <w:rPr>
          <w:rFonts w:ascii="Arial" w:hAnsi="Arial" w:cs="Arial"/>
        </w:rPr>
        <w:t xml:space="preserve">the production and sale of </w:t>
      </w:r>
      <w:r w:rsidRPr="00F744C3">
        <w:rPr>
          <w:rFonts w:ascii="Arial" w:hAnsi="Arial" w:cs="Arial"/>
        </w:rPr>
        <w:t xml:space="preserve">mining </w:t>
      </w:r>
      <w:r w:rsidR="00D078EF">
        <w:rPr>
          <w:rFonts w:ascii="Arial" w:hAnsi="Arial" w:cs="Arial"/>
        </w:rPr>
        <w:t>UPR</w:t>
      </w:r>
      <w:r w:rsidR="005217CA">
        <w:rPr>
          <w:rFonts w:ascii="Arial" w:hAnsi="Arial" w:cs="Arial"/>
        </w:rPr>
        <w:t xml:space="preserve"> in South Africa</w:t>
      </w:r>
      <w:r w:rsidRPr="00F744C3">
        <w:rPr>
          <w:rFonts w:ascii="Arial" w:hAnsi="Arial" w:cs="Arial"/>
        </w:rPr>
        <w:t>.</w:t>
      </w:r>
      <w:r>
        <w:rPr>
          <w:rFonts w:ascii="Arial" w:hAnsi="Arial" w:cs="Arial"/>
        </w:rPr>
        <w:t xml:space="preserve"> </w:t>
      </w:r>
    </w:p>
    <w:p w:rsidR="00931903" w:rsidRPr="00931903" w:rsidRDefault="00931903" w:rsidP="00931903">
      <w:pPr>
        <w:pStyle w:val="ListParagraph"/>
        <w:spacing w:after="240" w:line="360" w:lineRule="auto"/>
        <w:ind w:left="0"/>
        <w:jc w:val="both"/>
        <w:rPr>
          <w:rFonts w:ascii="Arial" w:hAnsi="Arial" w:cs="Arial"/>
          <w:b/>
        </w:rPr>
      </w:pPr>
      <w:r w:rsidRPr="00931903">
        <w:rPr>
          <w:rFonts w:ascii="Arial" w:hAnsi="Arial" w:cs="Arial"/>
          <w:b/>
        </w:rPr>
        <w:t>UPR market other than mining segment</w:t>
      </w:r>
      <w:r w:rsidR="00A718E0">
        <w:rPr>
          <w:rFonts w:ascii="Arial" w:hAnsi="Arial" w:cs="Arial"/>
          <w:b/>
        </w:rPr>
        <w:t xml:space="preserve"> (“UPR market”)</w:t>
      </w:r>
    </w:p>
    <w:p w:rsidR="00B5693C" w:rsidRDefault="00CA3411" w:rsidP="0080582B">
      <w:pPr>
        <w:pStyle w:val="ListParagraph"/>
        <w:numPr>
          <w:ilvl w:val="0"/>
          <w:numId w:val="2"/>
        </w:numPr>
        <w:spacing w:after="240" w:line="360" w:lineRule="auto"/>
        <w:ind w:left="0" w:firstLine="0"/>
        <w:jc w:val="both"/>
        <w:rPr>
          <w:rFonts w:ascii="Arial" w:hAnsi="Arial" w:cs="Arial"/>
        </w:rPr>
      </w:pPr>
      <w:r w:rsidRPr="00B5693C">
        <w:rPr>
          <w:rFonts w:ascii="Arial" w:hAnsi="Arial" w:cs="Arial"/>
        </w:rPr>
        <w:t>With respect to UPR</w:t>
      </w:r>
      <w:r w:rsidR="00316304">
        <w:rPr>
          <w:rFonts w:ascii="Arial" w:hAnsi="Arial" w:cs="Arial"/>
        </w:rPr>
        <w:t>s</w:t>
      </w:r>
      <w:r w:rsidR="00A718E0">
        <w:rPr>
          <w:rFonts w:ascii="Arial" w:hAnsi="Arial" w:cs="Arial"/>
        </w:rPr>
        <w:t xml:space="preserve"> other than mining </w:t>
      </w:r>
      <w:r w:rsidR="00316304">
        <w:rPr>
          <w:rFonts w:ascii="Arial" w:hAnsi="Arial" w:cs="Arial"/>
        </w:rPr>
        <w:t>UPR</w:t>
      </w:r>
      <w:r w:rsidRPr="00B5693C">
        <w:rPr>
          <w:rFonts w:ascii="Arial" w:hAnsi="Arial" w:cs="Arial"/>
        </w:rPr>
        <w:t xml:space="preserve">, the Commission found that the proposed transaction can be classified as a </w:t>
      </w:r>
      <w:r w:rsidR="00316304">
        <w:rPr>
          <w:rFonts w:ascii="Arial" w:hAnsi="Arial" w:cs="Arial"/>
        </w:rPr>
        <w:t xml:space="preserve">so-called </w:t>
      </w:r>
      <w:r w:rsidR="00A718E0">
        <w:rPr>
          <w:rFonts w:ascii="Arial" w:hAnsi="Arial" w:cs="Arial"/>
        </w:rPr>
        <w:t>“</w:t>
      </w:r>
      <w:r w:rsidRPr="00B5693C">
        <w:rPr>
          <w:rFonts w:ascii="Arial" w:hAnsi="Arial" w:cs="Arial"/>
        </w:rPr>
        <w:t>four-to-three</w:t>
      </w:r>
      <w:r w:rsidR="00A718E0">
        <w:rPr>
          <w:rFonts w:ascii="Arial" w:hAnsi="Arial" w:cs="Arial"/>
        </w:rPr>
        <w:t>”</w:t>
      </w:r>
      <w:r w:rsidRPr="00B5693C">
        <w:rPr>
          <w:rFonts w:ascii="Arial" w:hAnsi="Arial" w:cs="Arial"/>
        </w:rPr>
        <w:t xml:space="preserve"> merger.</w:t>
      </w:r>
      <w:r w:rsidR="00B5693C" w:rsidRPr="00B5693C">
        <w:rPr>
          <w:rFonts w:ascii="Arial" w:hAnsi="Arial" w:cs="Arial"/>
        </w:rPr>
        <w:t xml:space="preserve"> The </w:t>
      </w:r>
      <w:r w:rsidR="00B5693C" w:rsidRPr="00B5693C">
        <w:rPr>
          <w:rFonts w:ascii="Arial" w:hAnsi="Arial" w:cs="Arial"/>
        </w:rPr>
        <w:lastRenderedPageBreak/>
        <w:t xml:space="preserve">Commission also found that imports are not an effective alternative for </w:t>
      </w:r>
      <w:r w:rsidR="00A718E0">
        <w:rPr>
          <w:rFonts w:ascii="Arial" w:hAnsi="Arial" w:cs="Arial"/>
        </w:rPr>
        <w:t xml:space="preserve">these </w:t>
      </w:r>
      <w:r w:rsidR="00600F24">
        <w:rPr>
          <w:rFonts w:ascii="Arial" w:hAnsi="Arial" w:cs="Arial"/>
        </w:rPr>
        <w:t xml:space="preserve">UPR </w:t>
      </w:r>
      <w:r w:rsidR="00B5693C" w:rsidRPr="00B5693C">
        <w:rPr>
          <w:rFonts w:ascii="Arial" w:hAnsi="Arial" w:cs="Arial"/>
        </w:rPr>
        <w:t>customers</w:t>
      </w:r>
      <w:r w:rsidR="00600F24">
        <w:rPr>
          <w:rFonts w:ascii="Arial" w:hAnsi="Arial" w:cs="Arial"/>
        </w:rPr>
        <w:t xml:space="preserve"> in South Africa</w:t>
      </w:r>
      <w:r w:rsidR="00B5693C">
        <w:rPr>
          <w:rFonts w:ascii="Arial" w:hAnsi="Arial" w:cs="Arial"/>
        </w:rPr>
        <w:t>.</w:t>
      </w:r>
    </w:p>
    <w:p w:rsidR="0032764A" w:rsidRPr="0032764A" w:rsidRDefault="0032764A" w:rsidP="0032764A">
      <w:pPr>
        <w:pStyle w:val="ListParagraph"/>
        <w:numPr>
          <w:ilvl w:val="0"/>
          <w:numId w:val="2"/>
        </w:numPr>
        <w:spacing w:after="240" w:line="360" w:lineRule="auto"/>
        <w:ind w:left="0" w:firstLine="0"/>
        <w:jc w:val="both"/>
        <w:rPr>
          <w:rFonts w:ascii="Arial" w:hAnsi="Arial" w:cs="Arial"/>
        </w:rPr>
      </w:pPr>
      <w:r>
        <w:rPr>
          <w:rFonts w:ascii="Arial" w:hAnsi="Arial" w:cs="Arial"/>
        </w:rPr>
        <w:t xml:space="preserve">The merging parties argued that </w:t>
      </w:r>
      <w:r w:rsidRPr="0032764A">
        <w:rPr>
          <w:rFonts w:ascii="Arial" w:hAnsi="Arial" w:cs="Arial"/>
        </w:rPr>
        <w:t xml:space="preserve">the </w:t>
      </w:r>
      <w:r>
        <w:rPr>
          <w:rFonts w:ascii="Arial" w:hAnsi="Arial" w:cs="Arial"/>
        </w:rPr>
        <w:t>pr</w:t>
      </w:r>
      <w:r w:rsidR="00850BBC">
        <w:rPr>
          <w:rFonts w:ascii="Arial" w:hAnsi="Arial" w:cs="Arial"/>
        </w:rPr>
        <w:t>o</w:t>
      </w:r>
      <w:r>
        <w:rPr>
          <w:rFonts w:ascii="Arial" w:hAnsi="Arial" w:cs="Arial"/>
        </w:rPr>
        <w:t xml:space="preserve">posed </w:t>
      </w:r>
      <w:r w:rsidRPr="0032764A">
        <w:rPr>
          <w:rFonts w:ascii="Arial" w:hAnsi="Arial" w:cs="Arial"/>
        </w:rPr>
        <w:t>merger will not result in a substantial prevention or lessening of competition</w:t>
      </w:r>
      <w:r>
        <w:rPr>
          <w:rFonts w:ascii="Arial" w:hAnsi="Arial" w:cs="Arial"/>
        </w:rPr>
        <w:t xml:space="preserve"> in the UPR market</w:t>
      </w:r>
      <w:r w:rsidRPr="0032764A">
        <w:rPr>
          <w:rFonts w:ascii="Arial" w:hAnsi="Arial" w:cs="Arial"/>
        </w:rPr>
        <w:t xml:space="preserve">, primarily because the merged entity will continue to face competitive constraints in the form of price-aggressive local producers with significant excess capacity, and imports of UPR.  </w:t>
      </w:r>
    </w:p>
    <w:p w:rsidR="00DC3160" w:rsidRPr="00DC3160" w:rsidRDefault="00DC3160" w:rsidP="00DC3160">
      <w:pPr>
        <w:pStyle w:val="ListParagraph"/>
        <w:spacing w:after="240" w:line="360" w:lineRule="auto"/>
        <w:ind w:left="0"/>
        <w:jc w:val="both"/>
        <w:rPr>
          <w:rFonts w:ascii="Arial" w:hAnsi="Arial" w:cs="Arial"/>
          <w:i/>
        </w:rPr>
      </w:pPr>
      <w:r w:rsidRPr="00DC3160">
        <w:rPr>
          <w:rFonts w:ascii="Arial" w:hAnsi="Arial" w:cs="Arial"/>
          <w:i/>
        </w:rPr>
        <w:t>Assessment</w:t>
      </w:r>
    </w:p>
    <w:p w:rsidR="00A86B3D" w:rsidRDefault="000E455E" w:rsidP="0080582B">
      <w:pPr>
        <w:pStyle w:val="ListParagraph"/>
        <w:numPr>
          <w:ilvl w:val="0"/>
          <w:numId w:val="2"/>
        </w:numPr>
        <w:spacing w:after="240" w:line="360" w:lineRule="auto"/>
        <w:ind w:left="0" w:firstLine="0"/>
        <w:jc w:val="both"/>
        <w:rPr>
          <w:rFonts w:ascii="Arial" w:hAnsi="Arial" w:cs="Arial"/>
        </w:rPr>
      </w:pPr>
      <w:r>
        <w:rPr>
          <w:rFonts w:ascii="Arial" w:hAnsi="Arial" w:cs="Arial"/>
        </w:rPr>
        <w:t>I</w:t>
      </w:r>
      <w:r w:rsidRPr="000E455E">
        <w:rPr>
          <w:rFonts w:ascii="Arial" w:hAnsi="Arial" w:cs="Arial"/>
        </w:rPr>
        <w:t xml:space="preserve">n terms of the </w:t>
      </w:r>
      <w:r>
        <w:rPr>
          <w:rFonts w:ascii="Arial" w:hAnsi="Arial" w:cs="Arial"/>
        </w:rPr>
        <w:t xml:space="preserve">overall </w:t>
      </w:r>
      <w:r w:rsidRPr="000E455E">
        <w:rPr>
          <w:rFonts w:ascii="Arial" w:hAnsi="Arial" w:cs="Arial"/>
        </w:rPr>
        <w:t>supply of UPR</w:t>
      </w:r>
      <w:r>
        <w:rPr>
          <w:rFonts w:ascii="Arial" w:hAnsi="Arial" w:cs="Arial"/>
        </w:rPr>
        <w:t xml:space="preserve"> in South Africa</w:t>
      </w:r>
      <w:r w:rsidRPr="000E455E">
        <w:rPr>
          <w:rFonts w:ascii="Arial" w:hAnsi="Arial" w:cs="Arial"/>
        </w:rPr>
        <w:t xml:space="preserve">, NCS is the dominant supplier with </w:t>
      </w:r>
      <w:r>
        <w:rPr>
          <w:rFonts w:ascii="Arial" w:hAnsi="Arial" w:cs="Arial"/>
        </w:rPr>
        <w:t xml:space="preserve">a national </w:t>
      </w:r>
      <w:r w:rsidRPr="000E455E">
        <w:rPr>
          <w:rFonts w:ascii="Arial" w:hAnsi="Arial" w:cs="Arial"/>
        </w:rPr>
        <w:t xml:space="preserve">market share </w:t>
      </w:r>
      <w:r>
        <w:rPr>
          <w:rFonts w:ascii="Arial" w:hAnsi="Arial" w:cs="Arial"/>
        </w:rPr>
        <w:t>of approximately</w:t>
      </w:r>
      <w:r w:rsidRPr="000E455E">
        <w:rPr>
          <w:rFonts w:ascii="Arial" w:hAnsi="Arial" w:cs="Arial"/>
        </w:rPr>
        <w:t xml:space="preserve"> </w:t>
      </w:r>
      <w:r>
        <w:rPr>
          <w:rFonts w:ascii="Arial" w:hAnsi="Arial" w:cs="Arial"/>
        </w:rPr>
        <w:t>50</w:t>
      </w:r>
      <w:r w:rsidR="00204076">
        <w:rPr>
          <w:rFonts w:ascii="Arial" w:hAnsi="Arial" w:cs="Arial"/>
        </w:rPr>
        <w:t>% to 60</w:t>
      </w:r>
      <w:r w:rsidRPr="000E455E">
        <w:rPr>
          <w:rFonts w:ascii="Arial" w:hAnsi="Arial" w:cs="Arial"/>
        </w:rPr>
        <w:t>%</w:t>
      </w:r>
      <w:r w:rsidR="00A13B10">
        <w:rPr>
          <w:rFonts w:ascii="Arial" w:hAnsi="Arial" w:cs="Arial"/>
        </w:rPr>
        <w:t xml:space="preserve"> and</w:t>
      </w:r>
      <w:r w:rsidRPr="000E455E">
        <w:rPr>
          <w:rFonts w:ascii="Arial" w:hAnsi="Arial" w:cs="Arial"/>
        </w:rPr>
        <w:t xml:space="preserve"> Arkema </w:t>
      </w:r>
      <w:r w:rsidR="002A18CA">
        <w:rPr>
          <w:rFonts w:ascii="Arial" w:hAnsi="Arial" w:cs="Arial"/>
        </w:rPr>
        <w:t xml:space="preserve">SA </w:t>
      </w:r>
      <w:r>
        <w:rPr>
          <w:rFonts w:ascii="Arial" w:hAnsi="Arial" w:cs="Arial"/>
        </w:rPr>
        <w:t>has a national</w:t>
      </w:r>
      <w:r w:rsidR="00204076">
        <w:rPr>
          <w:rFonts w:ascii="Arial" w:hAnsi="Arial" w:cs="Arial"/>
        </w:rPr>
        <w:t xml:space="preserve"> market share of approximately </w:t>
      </w:r>
      <w:r>
        <w:rPr>
          <w:rFonts w:ascii="Arial" w:hAnsi="Arial" w:cs="Arial"/>
        </w:rPr>
        <w:t>1</w:t>
      </w:r>
      <w:r w:rsidR="00316304">
        <w:rPr>
          <w:rFonts w:ascii="Arial" w:hAnsi="Arial" w:cs="Arial"/>
        </w:rPr>
        <w:t>0</w:t>
      </w:r>
      <w:r w:rsidR="00204076">
        <w:rPr>
          <w:rFonts w:ascii="Arial" w:hAnsi="Arial" w:cs="Arial"/>
        </w:rPr>
        <w:t>% to 20</w:t>
      </w:r>
      <w:r>
        <w:rPr>
          <w:rFonts w:ascii="Arial" w:hAnsi="Arial" w:cs="Arial"/>
        </w:rPr>
        <w:t>%</w:t>
      </w:r>
      <w:r w:rsidRPr="000E455E">
        <w:rPr>
          <w:rFonts w:ascii="Arial" w:hAnsi="Arial" w:cs="Arial"/>
        </w:rPr>
        <w:t xml:space="preserve">. </w:t>
      </w:r>
      <w:r w:rsidR="00A86B3D">
        <w:rPr>
          <w:rFonts w:ascii="Arial" w:hAnsi="Arial" w:cs="Arial"/>
        </w:rPr>
        <w:t>Scott Bader has an esti</w:t>
      </w:r>
      <w:r w:rsidR="00204076">
        <w:rPr>
          <w:rFonts w:ascii="Arial" w:hAnsi="Arial" w:cs="Arial"/>
        </w:rPr>
        <w:t xml:space="preserve">mated national market share of </w:t>
      </w:r>
      <w:r w:rsidR="00A86B3D">
        <w:rPr>
          <w:rFonts w:ascii="Arial" w:hAnsi="Arial" w:cs="Arial"/>
        </w:rPr>
        <w:t>10</w:t>
      </w:r>
      <w:r w:rsidR="00204076">
        <w:rPr>
          <w:rFonts w:ascii="Arial" w:hAnsi="Arial" w:cs="Arial"/>
        </w:rPr>
        <w:t>% - 20</w:t>
      </w:r>
      <w:r w:rsidR="00A86B3D">
        <w:rPr>
          <w:rFonts w:ascii="Arial" w:hAnsi="Arial" w:cs="Arial"/>
        </w:rPr>
        <w:t>% and KZ</w:t>
      </w:r>
      <w:r w:rsidR="00204076">
        <w:rPr>
          <w:rFonts w:ascii="Arial" w:hAnsi="Arial" w:cs="Arial"/>
        </w:rPr>
        <w:t xml:space="preserve">N Resins an estimated share of </w:t>
      </w:r>
      <w:r w:rsidR="00A86B3D">
        <w:rPr>
          <w:rFonts w:ascii="Arial" w:hAnsi="Arial" w:cs="Arial"/>
        </w:rPr>
        <w:t>0</w:t>
      </w:r>
      <w:r w:rsidR="00204076">
        <w:rPr>
          <w:rFonts w:ascii="Arial" w:hAnsi="Arial" w:cs="Arial"/>
        </w:rPr>
        <w:t>% - 10</w:t>
      </w:r>
      <w:r w:rsidR="00A86B3D">
        <w:rPr>
          <w:rFonts w:ascii="Arial" w:hAnsi="Arial" w:cs="Arial"/>
        </w:rPr>
        <w:t xml:space="preserve">%. </w:t>
      </w:r>
      <w:r w:rsidR="00A13B10">
        <w:rPr>
          <w:rFonts w:ascii="Arial" w:hAnsi="Arial" w:cs="Arial"/>
        </w:rPr>
        <w:t>As already indicated, i</w:t>
      </w:r>
      <w:r w:rsidR="00A86B3D">
        <w:rPr>
          <w:rFonts w:ascii="Arial" w:hAnsi="Arial" w:cs="Arial"/>
        </w:rPr>
        <w:t xml:space="preserve">mports account for approximately </w:t>
      </w:r>
      <w:r w:rsidR="00DD106D">
        <w:rPr>
          <w:rFonts w:ascii="Arial" w:hAnsi="Arial" w:cs="Arial"/>
        </w:rPr>
        <w:t xml:space="preserve">8% to </w:t>
      </w:r>
      <w:r w:rsidR="00A86B3D">
        <w:rPr>
          <w:rFonts w:ascii="Arial" w:hAnsi="Arial" w:cs="Arial"/>
        </w:rPr>
        <w:t>10% of the market</w:t>
      </w:r>
      <w:r w:rsidR="00A13B10">
        <w:rPr>
          <w:rFonts w:ascii="Arial" w:hAnsi="Arial" w:cs="Arial"/>
        </w:rPr>
        <w:t xml:space="preserve"> (see paragraph </w:t>
      </w:r>
      <w:r w:rsidR="00DD106D" w:rsidRPr="003C6CD5">
        <w:rPr>
          <w:rFonts w:ascii="Arial" w:hAnsi="Arial" w:cs="Arial"/>
        </w:rPr>
        <w:t>4</w:t>
      </w:r>
      <w:r w:rsidR="0012610F" w:rsidRPr="003C6CD5">
        <w:rPr>
          <w:rFonts w:ascii="Arial" w:hAnsi="Arial" w:cs="Arial"/>
        </w:rPr>
        <w:t>1</w:t>
      </w:r>
      <w:r w:rsidR="00A13B10">
        <w:rPr>
          <w:rFonts w:ascii="Arial" w:hAnsi="Arial" w:cs="Arial"/>
        </w:rPr>
        <w:t xml:space="preserve"> above)</w:t>
      </w:r>
      <w:r w:rsidR="00A86B3D">
        <w:rPr>
          <w:rFonts w:ascii="Arial" w:hAnsi="Arial" w:cs="Arial"/>
        </w:rPr>
        <w:t>.</w:t>
      </w:r>
      <w:r w:rsidR="00A86B3D">
        <w:rPr>
          <w:rStyle w:val="FootnoteReference"/>
          <w:rFonts w:ascii="Arial" w:hAnsi="Arial" w:cs="Arial"/>
        </w:rPr>
        <w:footnoteReference w:id="160"/>
      </w:r>
      <w:r w:rsidR="00A86B3D">
        <w:rPr>
          <w:rFonts w:ascii="Arial" w:hAnsi="Arial" w:cs="Arial"/>
        </w:rPr>
        <w:t xml:space="preserve"> </w:t>
      </w:r>
    </w:p>
    <w:p w:rsidR="000E455E" w:rsidRPr="000E455E" w:rsidRDefault="000E455E" w:rsidP="0080582B">
      <w:pPr>
        <w:pStyle w:val="ListParagraph"/>
        <w:numPr>
          <w:ilvl w:val="0"/>
          <w:numId w:val="2"/>
        </w:numPr>
        <w:spacing w:after="240" w:line="360" w:lineRule="auto"/>
        <w:ind w:left="0" w:firstLine="0"/>
        <w:jc w:val="both"/>
        <w:rPr>
          <w:rFonts w:ascii="Arial" w:hAnsi="Arial" w:cs="Arial"/>
        </w:rPr>
      </w:pPr>
      <w:r w:rsidRPr="000E455E">
        <w:rPr>
          <w:rFonts w:ascii="Arial" w:hAnsi="Arial" w:cs="Arial"/>
        </w:rPr>
        <w:t>T</w:t>
      </w:r>
      <w:r>
        <w:rPr>
          <w:rFonts w:ascii="Arial" w:hAnsi="Arial" w:cs="Arial"/>
        </w:rPr>
        <w:t xml:space="preserve">he merged entity will therefore </w:t>
      </w:r>
      <w:r w:rsidR="00A36DC1">
        <w:rPr>
          <w:rFonts w:ascii="Arial" w:hAnsi="Arial" w:cs="Arial"/>
        </w:rPr>
        <w:t xml:space="preserve">have a market share of approximately </w:t>
      </w:r>
      <w:r>
        <w:rPr>
          <w:rFonts w:ascii="Arial" w:hAnsi="Arial" w:cs="Arial"/>
        </w:rPr>
        <w:t>60</w:t>
      </w:r>
      <w:r w:rsidR="00204076">
        <w:rPr>
          <w:rFonts w:ascii="Arial" w:hAnsi="Arial" w:cs="Arial"/>
        </w:rPr>
        <w:t>% to</w:t>
      </w:r>
      <w:r>
        <w:rPr>
          <w:rFonts w:ascii="Arial" w:hAnsi="Arial" w:cs="Arial"/>
        </w:rPr>
        <w:t xml:space="preserve"> 70</w:t>
      </w:r>
      <w:proofErr w:type="gramStart"/>
      <w:r>
        <w:rPr>
          <w:rFonts w:ascii="Arial" w:hAnsi="Arial" w:cs="Arial"/>
        </w:rPr>
        <w:t>]</w:t>
      </w:r>
      <w:r w:rsidRPr="000E455E">
        <w:rPr>
          <w:rFonts w:ascii="Arial" w:hAnsi="Arial" w:cs="Arial"/>
        </w:rPr>
        <w:t>%</w:t>
      </w:r>
      <w:proofErr w:type="gramEnd"/>
      <w:r w:rsidRPr="000E455E">
        <w:rPr>
          <w:rFonts w:ascii="Arial" w:hAnsi="Arial" w:cs="Arial"/>
        </w:rPr>
        <w:t xml:space="preserve"> </w:t>
      </w:r>
      <w:r w:rsidR="00A36DC1">
        <w:rPr>
          <w:rFonts w:ascii="Arial" w:hAnsi="Arial" w:cs="Arial"/>
        </w:rPr>
        <w:t>in</w:t>
      </w:r>
      <w:r w:rsidRPr="000E455E">
        <w:rPr>
          <w:rFonts w:ascii="Arial" w:hAnsi="Arial" w:cs="Arial"/>
        </w:rPr>
        <w:t xml:space="preserve"> the </w:t>
      </w:r>
      <w:r w:rsidR="00AB1513">
        <w:rPr>
          <w:rFonts w:ascii="Arial" w:hAnsi="Arial" w:cs="Arial"/>
        </w:rPr>
        <w:t>national</w:t>
      </w:r>
      <w:r w:rsidRPr="000E455E">
        <w:rPr>
          <w:rFonts w:ascii="Arial" w:hAnsi="Arial" w:cs="Arial"/>
        </w:rPr>
        <w:t xml:space="preserve"> market</w:t>
      </w:r>
      <w:r w:rsidR="00AB1513" w:rsidRPr="00AB1513">
        <w:rPr>
          <w:rFonts w:ascii="Arial" w:hAnsi="Arial" w:cs="Arial"/>
        </w:rPr>
        <w:t xml:space="preserve"> </w:t>
      </w:r>
      <w:r w:rsidR="00AB1513">
        <w:rPr>
          <w:rFonts w:ascii="Arial" w:hAnsi="Arial" w:cs="Arial"/>
        </w:rPr>
        <w:t>for the production and sale of UPR</w:t>
      </w:r>
      <w:r w:rsidRPr="000E455E">
        <w:rPr>
          <w:rFonts w:ascii="Arial" w:hAnsi="Arial" w:cs="Arial"/>
        </w:rPr>
        <w:t xml:space="preserve">. This </w:t>
      </w:r>
      <w:r>
        <w:rPr>
          <w:rFonts w:ascii="Arial" w:hAnsi="Arial" w:cs="Arial"/>
        </w:rPr>
        <w:t xml:space="preserve">represents </w:t>
      </w:r>
      <w:r w:rsidR="00AB1513">
        <w:rPr>
          <w:rFonts w:ascii="Arial" w:hAnsi="Arial" w:cs="Arial"/>
        </w:rPr>
        <w:t xml:space="preserve">not only </w:t>
      </w:r>
      <w:r w:rsidRPr="000E455E">
        <w:rPr>
          <w:rFonts w:ascii="Arial" w:hAnsi="Arial" w:cs="Arial"/>
        </w:rPr>
        <w:t>a very significant market share</w:t>
      </w:r>
      <w:r w:rsidR="00AB1513">
        <w:rPr>
          <w:rFonts w:ascii="Arial" w:hAnsi="Arial" w:cs="Arial"/>
        </w:rPr>
        <w:t xml:space="preserve">, but also a significant </w:t>
      </w:r>
      <w:r w:rsidRPr="000E455E">
        <w:rPr>
          <w:rFonts w:ascii="Arial" w:hAnsi="Arial" w:cs="Arial"/>
        </w:rPr>
        <w:t>increase in concentration</w:t>
      </w:r>
      <w:r>
        <w:rPr>
          <w:rFonts w:ascii="Arial" w:hAnsi="Arial" w:cs="Arial"/>
        </w:rPr>
        <w:t xml:space="preserve"> </w:t>
      </w:r>
      <w:r w:rsidR="00316304">
        <w:rPr>
          <w:rFonts w:ascii="Arial" w:hAnsi="Arial" w:cs="Arial"/>
        </w:rPr>
        <w:t xml:space="preserve">levels </w:t>
      </w:r>
      <w:r>
        <w:rPr>
          <w:rFonts w:ascii="Arial" w:hAnsi="Arial" w:cs="Arial"/>
        </w:rPr>
        <w:t>as a result of the proposed transaction</w:t>
      </w:r>
      <w:r w:rsidRPr="000E455E">
        <w:rPr>
          <w:rFonts w:ascii="Arial" w:hAnsi="Arial" w:cs="Arial"/>
        </w:rPr>
        <w:t xml:space="preserve">. </w:t>
      </w:r>
    </w:p>
    <w:p w:rsidR="001718C1" w:rsidRPr="00A57655" w:rsidRDefault="00901590" w:rsidP="0080582B">
      <w:pPr>
        <w:pStyle w:val="ListParagraph"/>
        <w:numPr>
          <w:ilvl w:val="0"/>
          <w:numId w:val="2"/>
        </w:numPr>
        <w:spacing w:after="240" w:line="360" w:lineRule="auto"/>
        <w:ind w:left="0" w:firstLine="0"/>
        <w:jc w:val="both"/>
        <w:rPr>
          <w:rFonts w:ascii="Arial" w:hAnsi="Arial" w:cs="Arial"/>
        </w:rPr>
      </w:pPr>
      <w:r w:rsidRPr="00A57655">
        <w:rPr>
          <w:rFonts w:ascii="Arial" w:hAnsi="Arial" w:cs="Arial"/>
        </w:rPr>
        <w:t xml:space="preserve">The </w:t>
      </w:r>
      <w:r w:rsidR="00311F80">
        <w:rPr>
          <w:rFonts w:ascii="Arial" w:hAnsi="Arial" w:cs="Arial"/>
        </w:rPr>
        <w:t xml:space="preserve">evidence has shown that the </w:t>
      </w:r>
      <w:r w:rsidR="00204076">
        <w:rPr>
          <w:rFonts w:ascii="Arial" w:hAnsi="Arial" w:cs="Arial"/>
        </w:rPr>
        <w:t>market for the manufacture</w:t>
      </w:r>
      <w:r w:rsidRPr="00A57655">
        <w:rPr>
          <w:rFonts w:ascii="Arial" w:hAnsi="Arial" w:cs="Arial"/>
        </w:rPr>
        <w:t xml:space="preserve"> and supply of UPR (excluding the </w:t>
      </w:r>
      <w:r w:rsidR="00F53AD5" w:rsidRPr="00A57655">
        <w:rPr>
          <w:rFonts w:ascii="Arial" w:hAnsi="Arial" w:cs="Arial"/>
        </w:rPr>
        <w:t xml:space="preserve">mining </w:t>
      </w:r>
      <w:r w:rsidRPr="00A57655">
        <w:rPr>
          <w:rFonts w:ascii="Arial" w:hAnsi="Arial" w:cs="Arial"/>
        </w:rPr>
        <w:t>UPR segment) is constituted of thousands of customers</w:t>
      </w:r>
      <w:r w:rsidR="00EC5812">
        <w:rPr>
          <w:rStyle w:val="FootnoteReference"/>
          <w:rFonts w:ascii="Arial" w:hAnsi="Arial" w:cs="Arial"/>
        </w:rPr>
        <w:footnoteReference w:id="161"/>
      </w:r>
      <w:r w:rsidR="00EC5812" w:rsidRPr="00A57655">
        <w:rPr>
          <w:rFonts w:ascii="Arial" w:hAnsi="Arial" w:cs="Arial"/>
        </w:rPr>
        <w:t xml:space="preserve"> and many different products</w:t>
      </w:r>
      <w:r w:rsidR="00BB477E">
        <w:rPr>
          <w:rFonts w:ascii="Arial" w:hAnsi="Arial" w:cs="Arial"/>
        </w:rPr>
        <w:t>, i.e. over one hundred</w:t>
      </w:r>
      <w:r w:rsidR="00311F80">
        <w:rPr>
          <w:rFonts w:ascii="Arial" w:hAnsi="Arial" w:cs="Arial"/>
        </w:rPr>
        <w:t xml:space="preserve"> products</w:t>
      </w:r>
      <w:r w:rsidR="00EC5812" w:rsidRPr="00A57655">
        <w:rPr>
          <w:rFonts w:ascii="Arial" w:hAnsi="Arial" w:cs="Arial"/>
        </w:rPr>
        <w:t>.</w:t>
      </w:r>
      <w:r w:rsidR="00EC5812" w:rsidRPr="00B51FDA">
        <w:rPr>
          <w:rStyle w:val="FootnoteReference"/>
          <w:rFonts w:ascii="Arial" w:hAnsi="Arial" w:cs="Arial"/>
        </w:rPr>
        <w:footnoteReference w:id="162"/>
      </w:r>
      <w:r w:rsidRPr="00B51FDA">
        <w:rPr>
          <w:rFonts w:ascii="Arial" w:hAnsi="Arial" w:cs="Arial"/>
        </w:rPr>
        <w:t xml:space="preserve"> </w:t>
      </w:r>
      <w:r w:rsidR="00A57655" w:rsidRPr="00A57655">
        <w:rPr>
          <w:rFonts w:ascii="Arial" w:hAnsi="Arial" w:cs="Arial"/>
        </w:rPr>
        <w:t xml:space="preserve">In the case of </w:t>
      </w:r>
      <w:r w:rsidR="00B91358" w:rsidRPr="00A57655">
        <w:rPr>
          <w:rFonts w:ascii="Arial" w:hAnsi="Arial" w:cs="Arial"/>
        </w:rPr>
        <w:t>Arkema</w:t>
      </w:r>
      <w:r w:rsidR="002A18CA">
        <w:rPr>
          <w:rFonts w:ascii="Arial" w:hAnsi="Arial" w:cs="Arial"/>
        </w:rPr>
        <w:t xml:space="preserve"> SA</w:t>
      </w:r>
      <w:r w:rsidR="00B91358">
        <w:rPr>
          <w:rFonts w:ascii="Arial" w:hAnsi="Arial" w:cs="Arial"/>
        </w:rPr>
        <w:t>,</w:t>
      </w:r>
      <w:r w:rsidR="00B91358" w:rsidRPr="00A57655">
        <w:rPr>
          <w:rFonts w:ascii="Arial" w:hAnsi="Arial" w:cs="Arial"/>
        </w:rPr>
        <w:t xml:space="preserve"> </w:t>
      </w:r>
      <w:r w:rsidR="00A57655" w:rsidRPr="00A57655">
        <w:rPr>
          <w:rFonts w:ascii="Arial" w:hAnsi="Arial" w:cs="Arial"/>
        </w:rPr>
        <w:t>for example</w:t>
      </w:r>
      <w:r w:rsidR="00B91358">
        <w:rPr>
          <w:rFonts w:ascii="Arial" w:hAnsi="Arial" w:cs="Arial"/>
        </w:rPr>
        <w:t>,</w:t>
      </w:r>
      <w:r w:rsidR="00A57655" w:rsidRPr="00A57655">
        <w:rPr>
          <w:rFonts w:ascii="Arial" w:hAnsi="Arial" w:cs="Arial"/>
        </w:rPr>
        <w:t xml:space="preserve"> each product is depicted by a unique UPE code. Souchon agreed that each code represents a different product with a different formulation.</w:t>
      </w:r>
      <w:r w:rsidR="00A57655">
        <w:rPr>
          <w:rStyle w:val="FootnoteReference"/>
          <w:rFonts w:ascii="Arial" w:hAnsi="Arial" w:cs="Arial"/>
        </w:rPr>
        <w:footnoteReference w:id="163"/>
      </w:r>
      <w:r w:rsidR="00A57655" w:rsidRPr="00A57655">
        <w:rPr>
          <w:rFonts w:ascii="Arial" w:hAnsi="Arial" w:cs="Arial"/>
        </w:rPr>
        <w:t xml:space="preserve"> It is for this reason that there are many different individual codes for base resin and other formulations </w:t>
      </w:r>
      <w:r w:rsidR="007819FE">
        <w:rPr>
          <w:rFonts w:ascii="Arial" w:hAnsi="Arial" w:cs="Arial"/>
        </w:rPr>
        <w:t>contained in “</w:t>
      </w:r>
      <w:r w:rsidR="00A57655" w:rsidRPr="00316304">
        <w:rPr>
          <w:rFonts w:ascii="Arial" w:hAnsi="Arial" w:cs="Arial"/>
          <w:b/>
        </w:rPr>
        <w:t>Annexure B</w:t>
      </w:r>
      <w:r w:rsidR="00A57655" w:rsidRPr="00A57655">
        <w:rPr>
          <w:rFonts w:ascii="Arial" w:hAnsi="Arial" w:cs="Arial"/>
        </w:rPr>
        <w:t xml:space="preserve">” </w:t>
      </w:r>
      <w:r w:rsidR="00311F80">
        <w:rPr>
          <w:rFonts w:ascii="Arial" w:hAnsi="Arial" w:cs="Arial"/>
        </w:rPr>
        <w:t>to</w:t>
      </w:r>
      <w:r w:rsidR="00A57655" w:rsidRPr="00A57655">
        <w:rPr>
          <w:rFonts w:ascii="Arial" w:hAnsi="Arial" w:cs="Arial"/>
        </w:rPr>
        <w:t xml:space="preserve"> </w:t>
      </w:r>
      <w:r w:rsidR="00316304">
        <w:rPr>
          <w:rFonts w:ascii="Arial" w:hAnsi="Arial" w:cs="Arial"/>
        </w:rPr>
        <w:t>the Tribunal</w:t>
      </w:r>
      <w:r w:rsidR="000B53EF">
        <w:rPr>
          <w:rFonts w:ascii="Arial" w:hAnsi="Arial" w:cs="Arial"/>
        </w:rPr>
        <w:t>’</w:t>
      </w:r>
      <w:r w:rsidR="00316304">
        <w:rPr>
          <w:rFonts w:ascii="Arial" w:hAnsi="Arial" w:cs="Arial"/>
        </w:rPr>
        <w:t>s</w:t>
      </w:r>
      <w:r w:rsidR="00A57655" w:rsidRPr="00A57655">
        <w:rPr>
          <w:rFonts w:ascii="Arial" w:hAnsi="Arial" w:cs="Arial"/>
        </w:rPr>
        <w:t xml:space="preserve"> </w:t>
      </w:r>
      <w:r w:rsidR="00311F80">
        <w:rPr>
          <w:rFonts w:ascii="Arial" w:hAnsi="Arial" w:cs="Arial"/>
        </w:rPr>
        <w:t>order</w:t>
      </w:r>
      <w:r w:rsidR="00A57655" w:rsidRPr="00A57655">
        <w:rPr>
          <w:rFonts w:ascii="Arial" w:hAnsi="Arial" w:cs="Arial"/>
        </w:rPr>
        <w:t xml:space="preserve">. </w:t>
      </w:r>
      <w:r w:rsidR="00B51FDA">
        <w:rPr>
          <w:rFonts w:ascii="Arial" w:hAnsi="Arial" w:cs="Arial"/>
        </w:rPr>
        <w:t xml:space="preserve">Furthermore, </w:t>
      </w:r>
      <w:r w:rsidR="00A57655" w:rsidRPr="00A57655">
        <w:rPr>
          <w:rFonts w:ascii="Arial" w:hAnsi="Arial" w:cs="Arial"/>
        </w:rPr>
        <w:t xml:space="preserve">Perrow testified that no single </w:t>
      </w:r>
      <w:r w:rsidR="00BB477E">
        <w:rPr>
          <w:rFonts w:ascii="Arial" w:hAnsi="Arial" w:cs="Arial"/>
        </w:rPr>
        <w:t>resin grade accounts for</w:t>
      </w:r>
      <w:r w:rsidR="00A57655" w:rsidRPr="00A57655">
        <w:rPr>
          <w:rFonts w:ascii="Arial" w:hAnsi="Arial" w:cs="Arial"/>
        </w:rPr>
        <w:t xml:space="preserve"> more than </w:t>
      </w:r>
      <w:r w:rsidR="007819FE">
        <w:rPr>
          <w:rFonts w:ascii="Arial" w:hAnsi="Arial" w:cs="Arial"/>
        </w:rPr>
        <w:t>0</w:t>
      </w:r>
      <w:r w:rsidR="00204076">
        <w:rPr>
          <w:rFonts w:ascii="Arial" w:hAnsi="Arial" w:cs="Arial"/>
        </w:rPr>
        <w:t>% to 10</w:t>
      </w:r>
      <w:r w:rsidR="00A57655" w:rsidRPr="00A57655">
        <w:rPr>
          <w:rFonts w:ascii="Arial" w:hAnsi="Arial" w:cs="Arial"/>
        </w:rPr>
        <w:t xml:space="preserve">% of </w:t>
      </w:r>
      <w:r w:rsidR="00BB477E">
        <w:rPr>
          <w:rFonts w:ascii="Arial" w:hAnsi="Arial" w:cs="Arial"/>
        </w:rPr>
        <w:t>N</w:t>
      </w:r>
      <w:r w:rsidR="00204076">
        <w:rPr>
          <w:rFonts w:ascii="Arial" w:hAnsi="Arial" w:cs="Arial"/>
        </w:rPr>
        <w:t>CS’</w:t>
      </w:r>
      <w:r w:rsidR="00A57655" w:rsidRPr="00A57655">
        <w:rPr>
          <w:rFonts w:ascii="Arial" w:hAnsi="Arial" w:cs="Arial"/>
        </w:rPr>
        <w:t xml:space="preserve"> </w:t>
      </w:r>
      <w:r w:rsidR="00BB477E">
        <w:rPr>
          <w:rFonts w:ascii="Arial" w:hAnsi="Arial" w:cs="Arial"/>
        </w:rPr>
        <w:t xml:space="preserve">total </w:t>
      </w:r>
      <w:r w:rsidR="00A57655" w:rsidRPr="00A57655">
        <w:rPr>
          <w:rFonts w:ascii="Arial" w:hAnsi="Arial" w:cs="Arial"/>
        </w:rPr>
        <w:t>sales by volume.</w:t>
      </w:r>
      <w:r w:rsidR="00A57655" w:rsidRPr="00A57655">
        <w:rPr>
          <w:rStyle w:val="FootnoteReference"/>
          <w:rFonts w:ascii="Arial" w:hAnsi="Arial" w:cs="Arial"/>
        </w:rPr>
        <w:footnoteReference w:id="164"/>
      </w:r>
    </w:p>
    <w:p w:rsidR="007819FE" w:rsidRDefault="007819FE" w:rsidP="0080582B">
      <w:pPr>
        <w:pStyle w:val="ListParagraph"/>
        <w:numPr>
          <w:ilvl w:val="0"/>
          <w:numId w:val="2"/>
        </w:numPr>
        <w:spacing w:after="240" w:line="360" w:lineRule="auto"/>
        <w:ind w:left="0" w:firstLine="0"/>
        <w:jc w:val="both"/>
        <w:rPr>
          <w:rFonts w:ascii="Arial" w:hAnsi="Arial" w:cs="Arial"/>
        </w:rPr>
      </w:pPr>
      <w:r w:rsidRPr="00D166C6">
        <w:rPr>
          <w:rFonts w:ascii="Arial" w:hAnsi="Arial" w:cs="Arial"/>
        </w:rPr>
        <w:lastRenderedPageBreak/>
        <w:t xml:space="preserve">The </w:t>
      </w:r>
      <w:r w:rsidR="00311F80">
        <w:rPr>
          <w:rFonts w:ascii="Arial" w:hAnsi="Arial" w:cs="Arial"/>
        </w:rPr>
        <w:t xml:space="preserve">evidence has furthermore been that the </w:t>
      </w:r>
      <w:r w:rsidRPr="00D166C6">
        <w:rPr>
          <w:rFonts w:ascii="Arial" w:hAnsi="Arial" w:cs="Arial"/>
        </w:rPr>
        <w:t xml:space="preserve">UPR </w:t>
      </w:r>
      <w:r w:rsidR="00311F80">
        <w:rPr>
          <w:rFonts w:ascii="Arial" w:hAnsi="Arial" w:cs="Arial"/>
        </w:rPr>
        <w:t xml:space="preserve">manufacturers </w:t>
      </w:r>
      <w:r w:rsidRPr="00D166C6">
        <w:rPr>
          <w:rFonts w:ascii="Arial" w:hAnsi="Arial" w:cs="Arial"/>
        </w:rPr>
        <w:t>produce a</w:t>
      </w:r>
      <w:r w:rsidR="00204076">
        <w:rPr>
          <w:rFonts w:ascii="Arial" w:hAnsi="Arial" w:cs="Arial"/>
        </w:rPr>
        <w:t xml:space="preserve"> broad</w:t>
      </w:r>
      <w:r w:rsidRPr="00D166C6">
        <w:rPr>
          <w:rFonts w:ascii="Arial" w:hAnsi="Arial" w:cs="Arial"/>
        </w:rPr>
        <w:t xml:space="preserve"> </w:t>
      </w:r>
      <w:r w:rsidR="00204076" w:rsidRPr="00D166C6">
        <w:rPr>
          <w:rFonts w:ascii="Arial" w:hAnsi="Arial" w:cs="Arial"/>
        </w:rPr>
        <w:t>variety</w:t>
      </w:r>
      <w:r w:rsidR="00204076">
        <w:rPr>
          <w:rFonts w:ascii="Arial" w:hAnsi="Arial" w:cs="Arial"/>
        </w:rPr>
        <w:t xml:space="preserve"> of</w:t>
      </w:r>
      <w:r w:rsidR="00204076" w:rsidRPr="00D166C6">
        <w:rPr>
          <w:rFonts w:ascii="Arial" w:hAnsi="Arial" w:cs="Arial"/>
        </w:rPr>
        <w:t xml:space="preserve"> </w:t>
      </w:r>
      <w:r w:rsidRPr="00D166C6">
        <w:rPr>
          <w:rFonts w:ascii="Arial" w:hAnsi="Arial" w:cs="Arial"/>
        </w:rPr>
        <w:t>product</w:t>
      </w:r>
      <w:r w:rsidR="00204076">
        <w:rPr>
          <w:rFonts w:ascii="Arial" w:hAnsi="Arial" w:cs="Arial"/>
        </w:rPr>
        <w:t>s ranging</w:t>
      </w:r>
      <w:r w:rsidRPr="00D166C6">
        <w:rPr>
          <w:rFonts w:ascii="Arial" w:hAnsi="Arial" w:cs="Arial"/>
        </w:rPr>
        <w:t xml:space="preserve"> </w:t>
      </w:r>
      <w:r w:rsidR="00B51FDA">
        <w:rPr>
          <w:rFonts w:ascii="Arial" w:hAnsi="Arial" w:cs="Arial"/>
        </w:rPr>
        <w:t xml:space="preserve">from </w:t>
      </w:r>
      <w:r w:rsidRPr="00D166C6">
        <w:rPr>
          <w:rFonts w:ascii="Arial" w:hAnsi="Arial" w:cs="Arial"/>
        </w:rPr>
        <w:t xml:space="preserve">general application </w:t>
      </w:r>
      <w:r w:rsidR="00B51FDA">
        <w:rPr>
          <w:rFonts w:ascii="Arial" w:hAnsi="Arial" w:cs="Arial"/>
        </w:rPr>
        <w:t xml:space="preserve">resin </w:t>
      </w:r>
      <w:r w:rsidR="000B53EF">
        <w:rPr>
          <w:rFonts w:ascii="Arial" w:hAnsi="Arial" w:cs="Arial"/>
        </w:rPr>
        <w:t xml:space="preserve">through </w:t>
      </w:r>
      <w:r w:rsidR="00B51FDA">
        <w:rPr>
          <w:rFonts w:ascii="Arial" w:hAnsi="Arial" w:cs="Arial"/>
        </w:rPr>
        <w:t xml:space="preserve">to </w:t>
      </w:r>
      <w:r w:rsidR="00613140" w:rsidRPr="00D166C6">
        <w:rPr>
          <w:rFonts w:ascii="Arial" w:hAnsi="Arial" w:cs="Arial"/>
        </w:rPr>
        <w:t xml:space="preserve">specialised </w:t>
      </w:r>
      <w:r w:rsidR="00613140">
        <w:rPr>
          <w:rFonts w:ascii="Arial" w:hAnsi="Arial" w:cs="Arial"/>
        </w:rPr>
        <w:t>and</w:t>
      </w:r>
      <w:r w:rsidR="00B22F27">
        <w:rPr>
          <w:rFonts w:ascii="Arial" w:hAnsi="Arial" w:cs="Arial"/>
        </w:rPr>
        <w:t xml:space="preserve"> customised </w:t>
      </w:r>
      <w:r w:rsidRPr="00D166C6">
        <w:rPr>
          <w:rFonts w:ascii="Arial" w:hAnsi="Arial" w:cs="Arial"/>
        </w:rPr>
        <w:t>resins</w:t>
      </w:r>
      <w:r w:rsidR="00311F80">
        <w:rPr>
          <w:rFonts w:ascii="Arial" w:hAnsi="Arial" w:cs="Arial"/>
        </w:rPr>
        <w:t xml:space="preserve">. These </w:t>
      </w:r>
      <w:r w:rsidRPr="00D166C6">
        <w:rPr>
          <w:rFonts w:ascii="Arial" w:hAnsi="Arial" w:cs="Arial"/>
        </w:rPr>
        <w:t xml:space="preserve">product ranges and specific specialised products target different groups. </w:t>
      </w:r>
    </w:p>
    <w:p w:rsidR="00C40F76" w:rsidRDefault="00C40F76" w:rsidP="00C40F76">
      <w:pPr>
        <w:pStyle w:val="ListParagraph"/>
        <w:numPr>
          <w:ilvl w:val="0"/>
          <w:numId w:val="2"/>
        </w:numPr>
        <w:spacing w:after="240" w:line="360" w:lineRule="auto"/>
        <w:ind w:left="0" w:firstLine="0"/>
        <w:jc w:val="both"/>
        <w:rPr>
          <w:rFonts w:ascii="Arial" w:hAnsi="Arial" w:cs="Arial"/>
        </w:rPr>
      </w:pPr>
      <w:r>
        <w:rPr>
          <w:rFonts w:ascii="Arial" w:hAnsi="Arial" w:cs="Arial"/>
        </w:rPr>
        <w:t xml:space="preserve">The </w:t>
      </w:r>
      <w:r w:rsidR="00316304">
        <w:rPr>
          <w:rFonts w:ascii="Arial" w:hAnsi="Arial" w:cs="Arial"/>
        </w:rPr>
        <w:t xml:space="preserve">evidence was that the market participants </w:t>
      </w:r>
      <w:r w:rsidRPr="00EC5812">
        <w:rPr>
          <w:rFonts w:ascii="Arial" w:hAnsi="Arial" w:cs="Arial"/>
        </w:rPr>
        <w:t>do not have exactly the same product ranges</w:t>
      </w:r>
      <w:r w:rsidR="005E0981">
        <w:rPr>
          <w:rFonts w:ascii="Arial" w:hAnsi="Arial" w:cs="Arial"/>
        </w:rPr>
        <w:t xml:space="preserve">, specifically with regards to </w:t>
      </w:r>
      <w:r w:rsidRPr="00EC5812">
        <w:rPr>
          <w:rFonts w:ascii="Arial" w:hAnsi="Arial" w:cs="Arial"/>
        </w:rPr>
        <w:t xml:space="preserve">specialist and customised resins. Where the firms </w:t>
      </w:r>
      <w:r w:rsidR="00311F80">
        <w:rPr>
          <w:rFonts w:ascii="Arial" w:hAnsi="Arial" w:cs="Arial"/>
        </w:rPr>
        <w:t xml:space="preserve">do </w:t>
      </w:r>
      <w:r w:rsidRPr="00EC5812">
        <w:rPr>
          <w:rFonts w:ascii="Arial" w:hAnsi="Arial" w:cs="Arial"/>
        </w:rPr>
        <w:t xml:space="preserve">produce a </w:t>
      </w:r>
      <w:r w:rsidR="00311F80">
        <w:rPr>
          <w:rFonts w:ascii="Arial" w:hAnsi="Arial" w:cs="Arial"/>
        </w:rPr>
        <w:t>UPR</w:t>
      </w:r>
      <w:r w:rsidRPr="00EC5812">
        <w:rPr>
          <w:rFonts w:ascii="Arial" w:hAnsi="Arial" w:cs="Arial"/>
        </w:rPr>
        <w:t xml:space="preserve"> for the same application, it is not the case that each firm’s products are homogenous at homogenous prices at the point of supply to the customer. </w:t>
      </w:r>
    </w:p>
    <w:p w:rsidR="008E0470" w:rsidRPr="00D77BDC" w:rsidRDefault="008E0470" w:rsidP="008E0470">
      <w:pPr>
        <w:pStyle w:val="ListParagraph"/>
        <w:numPr>
          <w:ilvl w:val="0"/>
          <w:numId w:val="2"/>
        </w:numPr>
        <w:spacing w:after="240" w:line="360" w:lineRule="auto"/>
        <w:ind w:left="0" w:firstLine="0"/>
        <w:jc w:val="both"/>
        <w:rPr>
          <w:rFonts w:ascii="Arial" w:hAnsi="Arial" w:cs="Arial"/>
        </w:rPr>
      </w:pPr>
      <w:r w:rsidRPr="00D77BDC">
        <w:rPr>
          <w:rFonts w:ascii="Arial" w:hAnsi="Arial" w:cs="Arial"/>
        </w:rPr>
        <w:t xml:space="preserve">The evidence was </w:t>
      </w:r>
      <w:r w:rsidR="001E6A64">
        <w:rPr>
          <w:rFonts w:ascii="Arial" w:hAnsi="Arial" w:cs="Arial"/>
        </w:rPr>
        <w:t xml:space="preserve">further </w:t>
      </w:r>
      <w:r w:rsidRPr="00D77BDC">
        <w:rPr>
          <w:rFonts w:ascii="Arial" w:hAnsi="Arial" w:cs="Arial"/>
        </w:rPr>
        <w:t xml:space="preserve">that not every UPR producer is necessarily able to replicate and supply every product on a consistent basis or of the </w:t>
      </w:r>
      <w:r w:rsidR="0030263C" w:rsidRPr="00D77BDC">
        <w:rPr>
          <w:rFonts w:ascii="Arial" w:hAnsi="Arial" w:cs="Arial"/>
        </w:rPr>
        <w:t xml:space="preserve">quality </w:t>
      </w:r>
      <w:r w:rsidRPr="00D77BDC">
        <w:rPr>
          <w:rFonts w:ascii="Arial" w:hAnsi="Arial" w:cs="Arial"/>
        </w:rPr>
        <w:t>required</w:t>
      </w:r>
      <w:r w:rsidR="0030263C">
        <w:rPr>
          <w:rFonts w:ascii="Arial" w:hAnsi="Arial" w:cs="Arial"/>
        </w:rPr>
        <w:t xml:space="preserve"> by the customers</w:t>
      </w:r>
      <w:r w:rsidRPr="00D77BDC">
        <w:rPr>
          <w:rFonts w:ascii="Arial" w:hAnsi="Arial" w:cs="Arial"/>
        </w:rPr>
        <w:t xml:space="preserve">. </w:t>
      </w:r>
      <w:r w:rsidR="0030263C">
        <w:rPr>
          <w:rFonts w:ascii="Arial" w:hAnsi="Arial" w:cs="Arial"/>
        </w:rPr>
        <w:t xml:space="preserve">Some examples are: </w:t>
      </w:r>
      <w:r w:rsidRPr="00D77BDC">
        <w:rPr>
          <w:rFonts w:ascii="Arial" w:hAnsi="Arial" w:cs="Arial"/>
        </w:rPr>
        <w:t>NCS indicated that it cannot produce a certain fire retardant resin</w:t>
      </w:r>
      <w:r w:rsidR="00894D9F" w:rsidRPr="00D77BDC">
        <w:rPr>
          <w:rFonts w:ascii="Arial" w:hAnsi="Arial" w:cs="Arial"/>
        </w:rPr>
        <w:t xml:space="preserve"> (</w:t>
      </w:r>
      <w:r w:rsidR="0030263C">
        <w:rPr>
          <w:rFonts w:ascii="Arial" w:hAnsi="Arial" w:cs="Arial"/>
        </w:rPr>
        <w:t xml:space="preserve">i.e. </w:t>
      </w:r>
      <w:r w:rsidR="00894D9F" w:rsidRPr="00D77BDC">
        <w:rPr>
          <w:rFonts w:ascii="Arial" w:hAnsi="Arial" w:cs="Arial"/>
        </w:rPr>
        <w:t>a speciality resin)</w:t>
      </w:r>
      <w:r w:rsidRPr="00D77BDC">
        <w:rPr>
          <w:rFonts w:ascii="Arial" w:hAnsi="Arial" w:cs="Arial"/>
        </w:rPr>
        <w:t>, but “</w:t>
      </w:r>
      <w:r w:rsidRPr="00D77BDC">
        <w:rPr>
          <w:rFonts w:ascii="Arial" w:hAnsi="Arial" w:cs="Arial"/>
          <w:i/>
        </w:rPr>
        <w:t>Scott Bader does have the technology and is able to produce this specialised resin</w:t>
      </w:r>
      <w:r w:rsidRPr="00D77BDC">
        <w:rPr>
          <w:rFonts w:ascii="Arial" w:hAnsi="Arial" w:cs="Arial"/>
        </w:rPr>
        <w:t>”</w:t>
      </w:r>
      <w:r w:rsidR="005C5D30">
        <w:rPr>
          <w:rFonts w:ascii="Arial" w:hAnsi="Arial" w:cs="Arial"/>
        </w:rPr>
        <w:t>;</w:t>
      </w:r>
      <w:r w:rsidRPr="004950C3">
        <w:rPr>
          <w:rStyle w:val="FootnoteReference"/>
          <w:rFonts w:ascii="Arial" w:hAnsi="Arial" w:cs="Arial"/>
        </w:rPr>
        <w:footnoteReference w:id="165"/>
      </w:r>
      <w:r w:rsidRPr="00D77BDC">
        <w:rPr>
          <w:rFonts w:ascii="Arial" w:hAnsi="Arial" w:cs="Arial"/>
        </w:rPr>
        <w:t xml:space="preserve"> Perrow identified a particular Arkema </w:t>
      </w:r>
      <w:r w:rsidR="00CD3456">
        <w:rPr>
          <w:rFonts w:ascii="Arial" w:hAnsi="Arial" w:cs="Arial"/>
        </w:rPr>
        <w:t xml:space="preserve">SA </w:t>
      </w:r>
      <w:r w:rsidRPr="00D77BDC">
        <w:rPr>
          <w:rFonts w:ascii="Arial" w:hAnsi="Arial" w:cs="Arial"/>
        </w:rPr>
        <w:t>product that NCS</w:t>
      </w:r>
      <w:r w:rsidR="0080472A" w:rsidRPr="00D77BDC">
        <w:rPr>
          <w:rFonts w:ascii="Arial" w:hAnsi="Arial" w:cs="Arial"/>
        </w:rPr>
        <w:t xml:space="preserve"> has</w:t>
      </w:r>
      <w:r w:rsidR="005C2205">
        <w:rPr>
          <w:rFonts w:ascii="Arial" w:hAnsi="Arial" w:cs="Arial"/>
        </w:rPr>
        <w:t>, notwithstanding repeated attempts,</w:t>
      </w:r>
      <w:r w:rsidR="0080472A" w:rsidRPr="00D77BDC">
        <w:rPr>
          <w:rFonts w:ascii="Arial" w:hAnsi="Arial" w:cs="Arial"/>
        </w:rPr>
        <w:t xml:space="preserve"> been</w:t>
      </w:r>
      <w:r w:rsidRPr="00D77BDC">
        <w:rPr>
          <w:rFonts w:ascii="Arial" w:hAnsi="Arial" w:cs="Arial"/>
        </w:rPr>
        <w:t xml:space="preserve"> unable to replicate</w:t>
      </w:r>
      <w:r w:rsidR="00AF6D5E" w:rsidRPr="00D77BDC">
        <w:rPr>
          <w:rFonts w:ascii="Arial" w:hAnsi="Arial" w:cs="Arial"/>
        </w:rPr>
        <w:t>;</w:t>
      </w:r>
      <w:r w:rsidRPr="004950C3">
        <w:rPr>
          <w:rStyle w:val="FootnoteReference"/>
          <w:rFonts w:ascii="Arial" w:hAnsi="Arial" w:cs="Arial"/>
        </w:rPr>
        <w:footnoteReference w:id="166"/>
      </w:r>
      <w:r w:rsidRPr="00D77BDC">
        <w:rPr>
          <w:rFonts w:ascii="Arial" w:hAnsi="Arial" w:cs="Arial"/>
        </w:rPr>
        <w:t xml:space="preserve"> </w:t>
      </w:r>
      <w:r w:rsidR="00E76B33" w:rsidRPr="00D77BDC">
        <w:rPr>
          <w:rFonts w:ascii="Arial" w:hAnsi="Arial" w:cs="Arial"/>
        </w:rPr>
        <w:t xml:space="preserve">and identified </w:t>
      </w:r>
      <w:r w:rsidR="00AF6D5E" w:rsidRPr="00D77BDC">
        <w:rPr>
          <w:rFonts w:ascii="Arial" w:hAnsi="Arial" w:cs="Arial"/>
        </w:rPr>
        <w:t xml:space="preserve">a </w:t>
      </w:r>
      <w:r w:rsidR="00E76B33" w:rsidRPr="00D77BDC">
        <w:rPr>
          <w:rFonts w:ascii="Arial" w:hAnsi="Arial" w:cs="Arial"/>
        </w:rPr>
        <w:t xml:space="preserve">certain application </w:t>
      </w:r>
      <w:r w:rsidR="00AF6D5E" w:rsidRPr="00D77BDC">
        <w:rPr>
          <w:rFonts w:ascii="Arial" w:hAnsi="Arial" w:cs="Arial"/>
        </w:rPr>
        <w:t>where</w:t>
      </w:r>
      <w:r w:rsidR="00E76B33" w:rsidRPr="00D77BDC">
        <w:rPr>
          <w:rFonts w:ascii="Arial" w:hAnsi="Arial" w:cs="Arial"/>
        </w:rPr>
        <w:t xml:space="preserve"> Arkema has the best resin for that application.</w:t>
      </w:r>
      <w:r w:rsidR="009F3870" w:rsidRPr="00D77BDC">
        <w:rPr>
          <w:rFonts w:ascii="Arial" w:hAnsi="Arial" w:cs="Arial"/>
        </w:rPr>
        <w:t xml:space="preserve"> He testified “</w:t>
      </w:r>
      <w:r w:rsidR="009F3870" w:rsidRPr="00D77BDC">
        <w:rPr>
          <w:rFonts w:ascii="Arial" w:hAnsi="Arial" w:cs="Arial"/>
          <w:i/>
        </w:rPr>
        <w:t>as hard as we’ve tried we haven’t managed to match Arkema on that particular product</w:t>
      </w:r>
      <w:r w:rsidR="009F3870" w:rsidRPr="00D77BDC">
        <w:rPr>
          <w:rFonts w:ascii="Arial" w:hAnsi="Arial" w:cs="Arial"/>
        </w:rPr>
        <w:t>”</w:t>
      </w:r>
      <w:r w:rsidR="005C5D30">
        <w:rPr>
          <w:rFonts w:ascii="Arial" w:hAnsi="Arial" w:cs="Arial"/>
        </w:rPr>
        <w:t>;</w:t>
      </w:r>
      <w:r w:rsidR="00E76B33">
        <w:rPr>
          <w:rStyle w:val="FootnoteReference"/>
          <w:rFonts w:ascii="Arial" w:hAnsi="Arial" w:cs="Arial"/>
        </w:rPr>
        <w:footnoteReference w:id="167"/>
      </w:r>
      <w:r w:rsidR="00E76B33" w:rsidRPr="00D77BDC">
        <w:rPr>
          <w:rFonts w:ascii="Arial" w:hAnsi="Arial" w:cs="Arial"/>
        </w:rPr>
        <w:t xml:space="preserve"> </w:t>
      </w:r>
      <w:r w:rsidRPr="00D77BDC">
        <w:rPr>
          <w:rFonts w:ascii="Arial" w:hAnsi="Arial" w:cs="Arial"/>
        </w:rPr>
        <w:t xml:space="preserve">Profibre indicated that it uses different suppliers for different </w:t>
      </w:r>
      <w:r w:rsidR="003508FE" w:rsidRPr="00D77BDC">
        <w:rPr>
          <w:rFonts w:ascii="Arial" w:hAnsi="Arial" w:cs="Arial"/>
        </w:rPr>
        <w:t>UPR/</w:t>
      </w:r>
      <w:r w:rsidR="002863F0" w:rsidRPr="00D77BDC">
        <w:rPr>
          <w:rFonts w:ascii="Arial" w:hAnsi="Arial" w:cs="Arial"/>
        </w:rPr>
        <w:t>gel coat</w:t>
      </w:r>
      <w:r w:rsidR="003508FE" w:rsidRPr="00D77BDC">
        <w:rPr>
          <w:rFonts w:ascii="Arial" w:hAnsi="Arial" w:cs="Arial"/>
        </w:rPr>
        <w:t xml:space="preserve"> </w:t>
      </w:r>
      <w:r w:rsidRPr="00D77BDC">
        <w:rPr>
          <w:rFonts w:ascii="Arial" w:hAnsi="Arial" w:cs="Arial"/>
        </w:rPr>
        <w:t xml:space="preserve">products as no one supplier can provide </w:t>
      </w:r>
      <w:r w:rsidR="005C2205">
        <w:rPr>
          <w:rFonts w:ascii="Arial" w:hAnsi="Arial" w:cs="Arial"/>
        </w:rPr>
        <w:t>the</w:t>
      </w:r>
      <w:r w:rsidRPr="00D77BDC">
        <w:rPr>
          <w:rFonts w:ascii="Arial" w:hAnsi="Arial" w:cs="Arial"/>
        </w:rPr>
        <w:t xml:space="preserve"> entire range</w:t>
      </w:r>
      <w:r w:rsidR="005C2205">
        <w:rPr>
          <w:rFonts w:ascii="Arial" w:hAnsi="Arial" w:cs="Arial"/>
        </w:rPr>
        <w:t xml:space="preserve"> it requires</w:t>
      </w:r>
      <w:r w:rsidR="005C5D30">
        <w:rPr>
          <w:rFonts w:ascii="Arial" w:hAnsi="Arial" w:cs="Arial"/>
        </w:rPr>
        <w:t>;</w:t>
      </w:r>
      <w:r>
        <w:rPr>
          <w:rStyle w:val="FootnoteReference"/>
          <w:rFonts w:ascii="Arial" w:hAnsi="Arial" w:cs="Arial"/>
        </w:rPr>
        <w:footnoteReference w:id="168"/>
      </w:r>
      <w:r w:rsidRPr="00D77BDC">
        <w:rPr>
          <w:rFonts w:ascii="Arial" w:hAnsi="Arial" w:cs="Arial"/>
        </w:rPr>
        <w:t xml:space="preserve"> </w:t>
      </w:r>
      <w:r w:rsidR="005C5D30">
        <w:rPr>
          <w:rFonts w:ascii="Arial" w:hAnsi="Arial" w:cs="Arial"/>
        </w:rPr>
        <w:t xml:space="preserve">and </w:t>
      </w:r>
      <w:r w:rsidRPr="00D77BDC">
        <w:rPr>
          <w:rFonts w:ascii="Arial" w:hAnsi="Arial" w:cs="Arial"/>
        </w:rPr>
        <w:t xml:space="preserve">V&amp;A indicated that neither </w:t>
      </w:r>
      <w:r w:rsidR="003048B4" w:rsidRPr="00D77BDC">
        <w:rPr>
          <w:rFonts w:ascii="Arial" w:hAnsi="Arial" w:cs="Arial"/>
        </w:rPr>
        <w:t>[</w:t>
      </w:r>
      <w:r w:rsidR="007253D7">
        <w:rPr>
          <w:rFonts w:ascii="Arial" w:hAnsi="Arial" w:cs="Arial"/>
        </w:rPr>
        <w:t>...</w:t>
      </w:r>
      <w:r w:rsidR="003048B4" w:rsidRPr="00D77BDC">
        <w:rPr>
          <w:rFonts w:ascii="Arial" w:hAnsi="Arial" w:cs="Arial"/>
        </w:rPr>
        <w:t>]</w:t>
      </w:r>
      <w:r w:rsidRPr="00D77BDC">
        <w:rPr>
          <w:rFonts w:ascii="Arial" w:hAnsi="Arial" w:cs="Arial"/>
        </w:rPr>
        <w:t xml:space="preserve"> </w:t>
      </w:r>
      <w:r w:rsidR="007253D7">
        <w:rPr>
          <w:rFonts w:ascii="Arial" w:hAnsi="Arial" w:cs="Arial"/>
        </w:rPr>
        <w:t xml:space="preserve">nor [...] </w:t>
      </w:r>
      <w:r w:rsidRPr="00D77BDC">
        <w:rPr>
          <w:rFonts w:ascii="Arial" w:hAnsi="Arial" w:cs="Arial"/>
        </w:rPr>
        <w:t>ha</w:t>
      </w:r>
      <w:r w:rsidR="00DC3160">
        <w:rPr>
          <w:rFonts w:ascii="Arial" w:hAnsi="Arial" w:cs="Arial"/>
        </w:rPr>
        <w:t>s</w:t>
      </w:r>
      <w:r w:rsidRPr="00D77BDC">
        <w:rPr>
          <w:rFonts w:ascii="Arial" w:hAnsi="Arial" w:cs="Arial"/>
        </w:rPr>
        <w:t xml:space="preserve"> been able to provide the specialist resin </w:t>
      </w:r>
      <w:r w:rsidR="007253D7">
        <w:rPr>
          <w:rFonts w:ascii="Arial" w:hAnsi="Arial" w:cs="Arial"/>
        </w:rPr>
        <w:t xml:space="preserve">that </w:t>
      </w:r>
      <w:r w:rsidRPr="00D77BDC">
        <w:rPr>
          <w:rFonts w:ascii="Arial" w:hAnsi="Arial" w:cs="Arial"/>
        </w:rPr>
        <w:t>it requires</w:t>
      </w:r>
      <w:r w:rsidR="00B22F27">
        <w:rPr>
          <w:rFonts w:ascii="Arial" w:hAnsi="Arial" w:cs="Arial"/>
        </w:rPr>
        <w:t>. Neethling indicated that these players have not been successful in</w:t>
      </w:r>
      <w:r w:rsidR="003048B4" w:rsidRPr="00D77BDC">
        <w:rPr>
          <w:rFonts w:ascii="Arial" w:hAnsi="Arial" w:cs="Arial"/>
        </w:rPr>
        <w:t xml:space="preserve"> “</w:t>
      </w:r>
      <w:r w:rsidR="000D105D" w:rsidRPr="00D77BDC">
        <w:rPr>
          <w:rFonts w:ascii="Arial" w:hAnsi="Arial" w:cs="Arial"/>
          <w:i/>
        </w:rPr>
        <w:t>securing the necessary consistency of finished product when it comes to the full scale quantity production of the specialised resin</w:t>
      </w:r>
      <w:r w:rsidR="000D105D" w:rsidRPr="00D77BDC">
        <w:rPr>
          <w:rFonts w:ascii="Arial" w:hAnsi="Arial" w:cs="Arial"/>
        </w:rPr>
        <w:t>”</w:t>
      </w:r>
      <w:r w:rsidRPr="00D77BDC">
        <w:rPr>
          <w:rFonts w:ascii="Arial" w:hAnsi="Arial" w:cs="Arial"/>
        </w:rPr>
        <w:t>.</w:t>
      </w:r>
      <w:r>
        <w:rPr>
          <w:rStyle w:val="FootnoteReference"/>
          <w:rFonts w:ascii="Arial" w:hAnsi="Arial" w:cs="Arial"/>
        </w:rPr>
        <w:footnoteReference w:id="169"/>
      </w:r>
    </w:p>
    <w:p w:rsidR="00476764" w:rsidRPr="008E0470" w:rsidRDefault="00476764" w:rsidP="00476764">
      <w:pPr>
        <w:pStyle w:val="ListParagraph"/>
        <w:numPr>
          <w:ilvl w:val="0"/>
          <w:numId w:val="2"/>
        </w:numPr>
        <w:spacing w:after="240" w:line="360" w:lineRule="auto"/>
        <w:ind w:left="0" w:firstLine="0"/>
        <w:jc w:val="both"/>
        <w:rPr>
          <w:rFonts w:ascii="Arial" w:hAnsi="Arial" w:cs="Arial"/>
        </w:rPr>
      </w:pPr>
      <w:r w:rsidRPr="008E0470">
        <w:rPr>
          <w:rFonts w:ascii="Arial" w:hAnsi="Arial" w:cs="Arial"/>
        </w:rPr>
        <w:t xml:space="preserve">Many witnesses referred to the quality of a </w:t>
      </w:r>
      <w:r w:rsidR="005C5D30">
        <w:rPr>
          <w:rFonts w:ascii="Arial" w:hAnsi="Arial" w:cs="Arial"/>
        </w:rPr>
        <w:t xml:space="preserve">UPR </w:t>
      </w:r>
      <w:r w:rsidRPr="008E0470">
        <w:rPr>
          <w:rFonts w:ascii="Arial" w:hAnsi="Arial" w:cs="Arial"/>
        </w:rPr>
        <w:t xml:space="preserve">supplier’s product relative to another supplier, quality issues with particular </w:t>
      </w:r>
      <w:r w:rsidR="005C5D30">
        <w:rPr>
          <w:rFonts w:ascii="Arial" w:hAnsi="Arial" w:cs="Arial"/>
        </w:rPr>
        <w:t xml:space="preserve">UPR </w:t>
      </w:r>
      <w:r w:rsidR="006E4F63">
        <w:rPr>
          <w:rFonts w:ascii="Arial" w:hAnsi="Arial" w:cs="Arial"/>
        </w:rPr>
        <w:t>products</w:t>
      </w:r>
      <w:r w:rsidRPr="008E0470">
        <w:rPr>
          <w:rFonts w:ascii="Arial" w:hAnsi="Arial" w:cs="Arial"/>
        </w:rPr>
        <w:t xml:space="preserve"> </w:t>
      </w:r>
      <w:r w:rsidR="00D61BE2">
        <w:rPr>
          <w:rFonts w:ascii="Arial" w:hAnsi="Arial" w:cs="Arial"/>
        </w:rPr>
        <w:t>and/</w:t>
      </w:r>
      <w:r w:rsidRPr="008E0470">
        <w:rPr>
          <w:rFonts w:ascii="Arial" w:hAnsi="Arial" w:cs="Arial"/>
        </w:rPr>
        <w:t xml:space="preserve">or the need for </w:t>
      </w:r>
      <w:r>
        <w:rPr>
          <w:rFonts w:ascii="Arial" w:hAnsi="Arial" w:cs="Arial"/>
        </w:rPr>
        <w:t xml:space="preserve">technical </w:t>
      </w:r>
      <w:r w:rsidRPr="008E0470">
        <w:rPr>
          <w:rFonts w:ascii="Arial" w:hAnsi="Arial" w:cs="Arial"/>
        </w:rPr>
        <w:t>support from suppliers to address quality issues with the UPRs supplied</w:t>
      </w:r>
      <w:r>
        <w:rPr>
          <w:rFonts w:ascii="Arial" w:hAnsi="Arial" w:cs="Arial"/>
        </w:rPr>
        <w:t xml:space="preserve"> or service delivery issues</w:t>
      </w:r>
      <w:r w:rsidRPr="008E0470">
        <w:rPr>
          <w:rFonts w:ascii="Arial" w:hAnsi="Arial" w:cs="Arial"/>
        </w:rPr>
        <w:t>.</w:t>
      </w:r>
      <w:r>
        <w:rPr>
          <w:rStyle w:val="FootnoteReference"/>
          <w:rFonts w:ascii="Arial" w:hAnsi="Arial" w:cs="Arial"/>
        </w:rPr>
        <w:footnoteReference w:id="170"/>
      </w:r>
      <w:r w:rsidRPr="008E0470">
        <w:rPr>
          <w:rFonts w:ascii="Arial" w:hAnsi="Arial" w:cs="Arial"/>
        </w:rPr>
        <w:t xml:space="preserve"> </w:t>
      </w:r>
      <w:r w:rsidR="005C5D30">
        <w:rPr>
          <w:rFonts w:ascii="Arial" w:hAnsi="Arial" w:cs="Arial"/>
        </w:rPr>
        <w:t xml:space="preserve">Quality challenges (including </w:t>
      </w:r>
      <w:r w:rsidR="00613140">
        <w:rPr>
          <w:rFonts w:ascii="Arial" w:hAnsi="Arial" w:cs="Arial"/>
        </w:rPr>
        <w:t>maintaining consistency</w:t>
      </w:r>
      <w:r w:rsidR="005C5D30">
        <w:rPr>
          <w:rFonts w:ascii="Arial" w:hAnsi="Arial" w:cs="Arial"/>
        </w:rPr>
        <w:t xml:space="preserve"> of </w:t>
      </w:r>
      <w:r w:rsidR="005C5D30">
        <w:rPr>
          <w:rFonts w:ascii="Arial" w:hAnsi="Arial" w:cs="Arial"/>
        </w:rPr>
        <w:lastRenderedPageBreak/>
        <w:t>quality) are a common phenomenon and e</w:t>
      </w:r>
      <w:r w:rsidRPr="008E0470">
        <w:rPr>
          <w:rFonts w:ascii="Arial" w:hAnsi="Arial" w:cs="Arial"/>
        </w:rPr>
        <w:t>ach of the four local producers has suffered quality issues over the years</w:t>
      </w:r>
      <w:r>
        <w:rPr>
          <w:rFonts w:ascii="Arial" w:hAnsi="Arial" w:cs="Arial"/>
        </w:rPr>
        <w:t xml:space="preserve"> with particular </w:t>
      </w:r>
      <w:r w:rsidR="005C5D30">
        <w:rPr>
          <w:rFonts w:ascii="Arial" w:hAnsi="Arial" w:cs="Arial"/>
        </w:rPr>
        <w:t xml:space="preserve">UPR </w:t>
      </w:r>
      <w:r>
        <w:rPr>
          <w:rFonts w:ascii="Arial" w:hAnsi="Arial" w:cs="Arial"/>
        </w:rPr>
        <w:t>products</w:t>
      </w:r>
      <w:r w:rsidRPr="008E0470">
        <w:rPr>
          <w:rFonts w:ascii="Arial" w:hAnsi="Arial" w:cs="Arial"/>
        </w:rPr>
        <w:t>.</w:t>
      </w:r>
      <w:r>
        <w:rPr>
          <w:rFonts w:ascii="Arial" w:hAnsi="Arial" w:cs="Arial"/>
        </w:rPr>
        <w:t xml:space="preserve"> </w:t>
      </w:r>
      <w:r w:rsidR="00CD3456">
        <w:rPr>
          <w:rFonts w:ascii="Arial" w:hAnsi="Arial" w:cs="Arial"/>
        </w:rPr>
        <w:t>Moreover, e</w:t>
      </w:r>
      <w:r w:rsidRPr="008E0470">
        <w:rPr>
          <w:rFonts w:ascii="Arial" w:hAnsi="Arial" w:cs="Arial"/>
        </w:rPr>
        <w:t xml:space="preserve">ven if a producer is able to supply a particular product, it may not be able to do </w:t>
      </w:r>
      <w:r w:rsidR="00D61BE2">
        <w:rPr>
          <w:rFonts w:ascii="Arial" w:hAnsi="Arial" w:cs="Arial"/>
        </w:rPr>
        <w:t>so</w:t>
      </w:r>
      <w:r w:rsidR="00D61BE2" w:rsidRPr="008E0470">
        <w:rPr>
          <w:rFonts w:ascii="Arial" w:hAnsi="Arial" w:cs="Arial"/>
        </w:rPr>
        <w:t xml:space="preserve"> </w:t>
      </w:r>
      <w:r w:rsidRPr="008E0470">
        <w:rPr>
          <w:rFonts w:ascii="Arial" w:hAnsi="Arial" w:cs="Arial"/>
        </w:rPr>
        <w:t xml:space="preserve">as cost-effectively as another producer. For instance, Perrow indicated that Arkema </w:t>
      </w:r>
      <w:r w:rsidR="00626F2F">
        <w:rPr>
          <w:rFonts w:ascii="Arial" w:hAnsi="Arial" w:cs="Arial"/>
        </w:rPr>
        <w:t xml:space="preserve">SA </w:t>
      </w:r>
      <w:r w:rsidRPr="008E0470">
        <w:rPr>
          <w:rFonts w:ascii="Arial" w:hAnsi="Arial" w:cs="Arial"/>
        </w:rPr>
        <w:t>is considerably cheaper than NCS for a certain resin type.</w:t>
      </w:r>
      <w:r w:rsidRPr="009B621D">
        <w:rPr>
          <w:rStyle w:val="FootnoteReference"/>
          <w:rFonts w:ascii="Arial" w:hAnsi="Arial" w:cs="Arial"/>
        </w:rPr>
        <w:footnoteReference w:id="171"/>
      </w:r>
    </w:p>
    <w:p w:rsidR="00D07C33" w:rsidRPr="00D166C6" w:rsidRDefault="00DC3160" w:rsidP="00D07C33">
      <w:pPr>
        <w:pStyle w:val="ListParagraph"/>
        <w:numPr>
          <w:ilvl w:val="0"/>
          <w:numId w:val="2"/>
        </w:numPr>
        <w:spacing w:after="240" w:line="360" w:lineRule="auto"/>
        <w:ind w:left="0" w:firstLine="0"/>
        <w:jc w:val="both"/>
        <w:rPr>
          <w:rFonts w:ascii="Arial" w:hAnsi="Arial" w:cs="Arial"/>
        </w:rPr>
      </w:pPr>
      <w:r>
        <w:rPr>
          <w:rFonts w:ascii="Arial" w:hAnsi="Arial" w:cs="Arial"/>
        </w:rPr>
        <w:t>Thus, e</w:t>
      </w:r>
      <w:r w:rsidR="00D07C33" w:rsidRPr="007819FE">
        <w:rPr>
          <w:rFonts w:ascii="Arial" w:hAnsi="Arial" w:cs="Arial"/>
        </w:rPr>
        <w:t xml:space="preserve">ven where the producers have </w:t>
      </w:r>
      <w:r w:rsidR="00D07C33">
        <w:rPr>
          <w:rFonts w:ascii="Arial" w:hAnsi="Arial" w:cs="Arial"/>
        </w:rPr>
        <w:t xml:space="preserve">UPR </w:t>
      </w:r>
      <w:r w:rsidR="00D07C33" w:rsidRPr="007819FE">
        <w:rPr>
          <w:rFonts w:ascii="Arial" w:hAnsi="Arial" w:cs="Arial"/>
        </w:rPr>
        <w:t xml:space="preserve">products that broadly target </w:t>
      </w:r>
      <w:r w:rsidR="00CD3456">
        <w:rPr>
          <w:rFonts w:ascii="Arial" w:hAnsi="Arial" w:cs="Arial"/>
        </w:rPr>
        <w:t>a</w:t>
      </w:r>
      <w:r w:rsidR="00D07C33" w:rsidRPr="007819FE">
        <w:rPr>
          <w:rFonts w:ascii="Arial" w:hAnsi="Arial" w:cs="Arial"/>
        </w:rPr>
        <w:t xml:space="preserve"> </w:t>
      </w:r>
      <w:r w:rsidR="00626F2F">
        <w:rPr>
          <w:rFonts w:ascii="Arial" w:hAnsi="Arial" w:cs="Arial"/>
        </w:rPr>
        <w:t xml:space="preserve">certain </w:t>
      </w:r>
      <w:r w:rsidR="00D07C33" w:rsidRPr="007819FE">
        <w:rPr>
          <w:rFonts w:ascii="Arial" w:hAnsi="Arial" w:cs="Arial"/>
        </w:rPr>
        <w:t>customer group, differences in quality, technical specifications and costs of production/price differ between the manufacturers and therefore the</w:t>
      </w:r>
      <w:r w:rsidR="00D07C33">
        <w:rPr>
          <w:rFonts w:ascii="Arial" w:hAnsi="Arial" w:cs="Arial"/>
        </w:rPr>
        <w:t xml:space="preserve"> product offerings </w:t>
      </w:r>
      <w:r w:rsidR="00D07C33" w:rsidRPr="007819FE">
        <w:rPr>
          <w:rFonts w:ascii="Arial" w:hAnsi="Arial" w:cs="Arial"/>
        </w:rPr>
        <w:t xml:space="preserve">are not homogenous. </w:t>
      </w:r>
      <w:r w:rsidR="00B22F27">
        <w:rPr>
          <w:rFonts w:ascii="Arial" w:hAnsi="Arial" w:cs="Arial"/>
        </w:rPr>
        <w:t xml:space="preserve">Smith of </w:t>
      </w:r>
      <w:r w:rsidR="00D07C33" w:rsidRPr="007819FE">
        <w:rPr>
          <w:rFonts w:ascii="Arial" w:hAnsi="Arial" w:cs="Arial"/>
        </w:rPr>
        <w:t>RBB</w:t>
      </w:r>
      <w:r w:rsidR="00B22F27">
        <w:rPr>
          <w:rFonts w:ascii="Arial" w:hAnsi="Arial" w:cs="Arial"/>
        </w:rPr>
        <w:t xml:space="preserve"> Economics</w:t>
      </w:r>
      <w:r w:rsidR="00D07C33" w:rsidRPr="007819FE">
        <w:rPr>
          <w:rFonts w:ascii="Arial" w:hAnsi="Arial" w:cs="Arial"/>
        </w:rPr>
        <w:t xml:space="preserve"> confirmed the differences in both the costs and pricing between producers.</w:t>
      </w:r>
      <w:r w:rsidR="00D07C33" w:rsidRPr="009B621D">
        <w:rPr>
          <w:rStyle w:val="FootnoteReference"/>
          <w:rFonts w:ascii="Arial" w:hAnsi="Arial" w:cs="Arial"/>
        </w:rPr>
        <w:footnoteReference w:id="172"/>
      </w:r>
      <w:r w:rsidR="00D07C33" w:rsidRPr="007819FE">
        <w:rPr>
          <w:rFonts w:ascii="Arial" w:hAnsi="Arial" w:cs="Arial"/>
        </w:rPr>
        <w:t xml:space="preserve"> </w:t>
      </w:r>
    </w:p>
    <w:p w:rsidR="008E0470" w:rsidRPr="008C313F" w:rsidRDefault="007253D7" w:rsidP="008E0470">
      <w:pPr>
        <w:pStyle w:val="ListParagraph"/>
        <w:numPr>
          <w:ilvl w:val="0"/>
          <w:numId w:val="2"/>
        </w:numPr>
        <w:spacing w:after="240" w:line="360" w:lineRule="auto"/>
        <w:ind w:left="0" w:firstLine="0"/>
        <w:jc w:val="both"/>
        <w:rPr>
          <w:rFonts w:ascii="Arial" w:hAnsi="Arial" w:cs="Arial"/>
        </w:rPr>
      </w:pPr>
      <w:r>
        <w:rPr>
          <w:rFonts w:ascii="Arial" w:hAnsi="Arial" w:cs="Arial"/>
        </w:rPr>
        <w:t>Furthermore, a</w:t>
      </w:r>
      <w:r w:rsidR="008E0470" w:rsidRPr="00490075">
        <w:rPr>
          <w:rFonts w:ascii="Arial" w:hAnsi="Arial" w:cs="Arial"/>
        </w:rPr>
        <w:t xml:space="preserve">ny attempt at replicating a competitor’s product requires time and </w:t>
      </w:r>
      <w:r w:rsidR="008E0470">
        <w:rPr>
          <w:rFonts w:ascii="Arial" w:hAnsi="Arial" w:cs="Arial"/>
        </w:rPr>
        <w:t>involves</w:t>
      </w:r>
      <w:r w:rsidR="006E4F63">
        <w:rPr>
          <w:rFonts w:ascii="Arial" w:hAnsi="Arial" w:cs="Arial"/>
        </w:rPr>
        <w:t xml:space="preserve"> incurring</w:t>
      </w:r>
      <w:r w:rsidR="008E0470">
        <w:rPr>
          <w:rFonts w:ascii="Arial" w:hAnsi="Arial" w:cs="Arial"/>
        </w:rPr>
        <w:t xml:space="preserve"> </w:t>
      </w:r>
      <w:r w:rsidR="006E4F63" w:rsidRPr="00490075">
        <w:rPr>
          <w:rFonts w:ascii="Arial" w:hAnsi="Arial" w:cs="Arial"/>
        </w:rPr>
        <w:t xml:space="preserve">costs </w:t>
      </w:r>
      <w:r w:rsidR="006E4F63">
        <w:rPr>
          <w:rFonts w:ascii="Arial" w:hAnsi="Arial" w:cs="Arial"/>
        </w:rPr>
        <w:t xml:space="preserve">associated with </w:t>
      </w:r>
      <w:r w:rsidR="008E0470" w:rsidRPr="00490075">
        <w:rPr>
          <w:rFonts w:ascii="Arial" w:hAnsi="Arial" w:cs="Arial"/>
        </w:rPr>
        <w:t>research and development</w:t>
      </w:r>
      <w:r w:rsidR="00D61BE2">
        <w:rPr>
          <w:rFonts w:ascii="Arial" w:hAnsi="Arial" w:cs="Arial"/>
        </w:rPr>
        <w:t xml:space="preserve"> (“R</w:t>
      </w:r>
      <w:r w:rsidR="00A50B12">
        <w:rPr>
          <w:rFonts w:ascii="Arial" w:hAnsi="Arial" w:cs="Arial"/>
        </w:rPr>
        <w:t>&amp;D</w:t>
      </w:r>
      <w:r w:rsidR="00D61BE2">
        <w:rPr>
          <w:rFonts w:ascii="Arial" w:hAnsi="Arial" w:cs="Arial"/>
        </w:rPr>
        <w:t>”)</w:t>
      </w:r>
      <w:r w:rsidR="001B5B06">
        <w:rPr>
          <w:rFonts w:ascii="Arial" w:hAnsi="Arial" w:cs="Arial"/>
        </w:rPr>
        <w:t>, which may be significant</w:t>
      </w:r>
      <w:r w:rsidR="008E0470" w:rsidRPr="00490075">
        <w:rPr>
          <w:rFonts w:ascii="Arial" w:hAnsi="Arial" w:cs="Arial"/>
        </w:rPr>
        <w:t xml:space="preserve">. Perrow explained that </w:t>
      </w:r>
      <w:r w:rsidR="008E0470">
        <w:rPr>
          <w:rFonts w:ascii="Arial" w:hAnsi="Arial" w:cs="Arial"/>
        </w:rPr>
        <w:t>“</w:t>
      </w:r>
      <w:r w:rsidR="008E0470" w:rsidRPr="007819FE">
        <w:rPr>
          <w:rFonts w:ascii="Arial" w:hAnsi="Arial" w:cs="Arial"/>
          <w:i/>
        </w:rPr>
        <w:t>each resin has got its own little tweak. So I think the years and years of R&amp;D that Arkema have put into the product and to put into their truck body resin or their bath or their casting resin, or all the work that’s been done on a customer like Betcrete who makes window and door frames, we’ve all incurred massive costs on R&amp;D to get their formulation righ</w:t>
      </w:r>
      <w:r w:rsidR="008E0470" w:rsidRPr="00490075">
        <w:rPr>
          <w:rFonts w:ascii="Arial" w:hAnsi="Arial" w:cs="Arial"/>
        </w:rPr>
        <w:t>t.”</w:t>
      </w:r>
      <w:r w:rsidR="008E0470">
        <w:rPr>
          <w:rStyle w:val="FootnoteReference"/>
          <w:rFonts w:ascii="Arial" w:hAnsi="Arial" w:cs="Arial"/>
        </w:rPr>
        <w:footnoteReference w:id="173"/>
      </w:r>
      <w:r w:rsidR="008E0470" w:rsidRPr="00490075">
        <w:t xml:space="preserve"> </w:t>
      </w:r>
    </w:p>
    <w:p w:rsidR="00D2195D" w:rsidRDefault="00C40F76" w:rsidP="00C40F76">
      <w:pPr>
        <w:pStyle w:val="ListParagraph"/>
        <w:numPr>
          <w:ilvl w:val="0"/>
          <w:numId w:val="2"/>
        </w:numPr>
        <w:spacing w:after="240" w:line="360" w:lineRule="auto"/>
        <w:ind w:left="0" w:firstLine="0"/>
        <w:jc w:val="both"/>
        <w:rPr>
          <w:rFonts w:ascii="Arial" w:hAnsi="Arial" w:cs="Arial"/>
        </w:rPr>
      </w:pPr>
      <w:r w:rsidRPr="00514823">
        <w:rPr>
          <w:rFonts w:ascii="Arial" w:hAnsi="Arial" w:cs="Arial"/>
        </w:rPr>
        <w:t xml:space="preserve">Perrow </w:t>
      </w:r>
      <w:r w:rsidR="00D2195D">
        <w:rPr>
          <w:rFonts w:ascii="Arial" w:hAnsi="Arial" w:cs="Arial"/>
        </w:rPr>
        <w:t xml:space="preserve">also </w:t>
      </w:r>
      <w:r w:rsidRPr="00514823">
        <w:rPr>
          <w:rFonts w:ascii="Arial" w:hAnsi="Arial" w:cs="Arial"/>
        </w:rPr>
        <w:t>explained the changes that can be made to general purpose resin to meet particular customer needs: “</w:t>
      </w:r>
      <w:r w:rsidRPr="004E63A2">
        <w:rPr>
          <w:rFonts w:ascii="Arial" w:hAnsi="Arial" w:cs="Arial"/>
          <w:i/>
        </w:rPr>
        <w:t xml:space="preserve">Certainly customers will require slight changes, which we can make by either adjusting the percentages of the acids or the glycols or whether we single cook or double cook the products or whether we use terephthalic, isophthalic, orthophthalic. There </w:t>
      </w:r>
      <w:proofErr w:type="gramStart"/>
      <w:r w:rsidRPr="004E63A2">
        <w:rPr>
          <w:rFonts w:ascii="Arial" w:hAnsi="Arial" w:cs="Arial"/>
          <w:i/>
        </w:rPr>
        <w:t>is</w:t>
      </w:r>
      <w:proofErr w:type="gramEnd"/>
      <w:r w:rsidRPr="004E63A2">
        <w:rPr>
          <w:rFonts w:ascii="Arial" w:hAnsi="Arial" w:cs="Arial"/>
          <w:i/>
        </w:rPr>
        <w:t xml:space="preserve"> a number of changes we can make. Then if we change the addition of styrene, it affects the shrinkage of the product and how well the product flows and how it wets out the fibreglass. Then we also change by adding accelerators and retarders, how fast we want the resin to go hard or by retarding it, we can push out the gel time. We can push it </w:t>
      </w:r>
      <w:proofErr w:type="gramStart"/>
      <w:r w:rsidRPr="004E63A2">
        <w:rPr>
          <w:rFonts w:ascii="Arial" w:hAnsi="Arial" w:cs="Arial"/>
          <w:i/>
        </w:rPr>
        <w:t>out ....</w:t>
      </w:r>
      <w:proofErr w:type="gramEnd"/>
      <w:r w:rsidRPr="004E63A2">
        <w:rPr>
          <w:rFonts w:ascii="Arial" w:hAnsi="Arial" w:cs="Arial"/>
          <w:i/>
        </w:rPr>
        <w:t xml:space="preserve"> </w:t>
      </w:r>
      <w:proofErr w:type="gramStart"/>
      <w:r w:rsidRPr="004E63A2">
        <w:rPr>
          <w:rFonts w:ascii="Arial" w:hAnsi="Arial" w:cs="Arial"/>
          <w:i/>
        </w:rPr>
        <w:t>if</w:t>
      </w:r>
      <w:proofErr w:type="gramEnd"/>
      <w:r w:rsidRPr="004E63A2">
        <w:rPr>
          <w:rFonts w:ascii="Arial" w:hAnsi="Arial" w:cs="Arial"/>
          <w:i/>
        </w:rPr>
        <w:t xml:space="preserve"> we want to extend that to half an hour, [we] would add a retarder. If we wanted to bring it forward to cure within 5 minutes, we would add an accelerator. With each change there is a positive and a negative. So, if you add too much </w:t>
      </w:r>
      <w:r w:rsidRPr="004E63A2">
        <w:rPr>
          <w:rFonts w:ascii="Arial" w:hAnsi="Arial" w:cs="Arial"/>
          <w:i/>
        </w:rPr>
        <w:lastRenderedPageBreak/>
        <w:t>accelerator, it will be brittle and it will cure very quickly. We might add a plasticiser, because we want the product to be a little bit more rubbery. I can go on and on</w:t>
      </w:r>
      <w:r w:rsidRPr="00514823">
        <w:rPr>
          <w:rFonts w:ascii="Arial" w:hAnsi="Arial" w:cs="Arial"/>
        </w:rPr>
        <w:t>”</w:t>
      </w:r>
      <w:r>
        <w:rPr>
          <w:rFonts w:ascii="Arial" w:hAnsi="Arial" w:cs="Arial"/>
        </w:rPr>
        <w:t>.</w:t>
      </w:r>
      <w:r>
        <w:rPr>
          <w:rStyle w:val="FootnoteReference"/>
          <w:rFonts w:ascii="Arial" w:hAnsi="Arial" w:cs="Arial"/>
        </w:rPr>
        <w:footnoteReference w:id="174"/>
      </w:r>
      <w:r>
        <w:rPr>
          <w:rFonts w:ascii="Arial" w:hAnsi="Arial" w:cs="Arial"/>
        </w:rPr>
        <w:t xml:space="preserve"> </w:t>
      </w:r>
      <w:r w:rsidR="00CD3456">
        <w:rPr>
          <w:rFonts w:ascii="Arial" w:hAnsi="Arial" w:cs="Arial"/>
        </w:rPr>
        <w:t>He</w:t>
      </w:r>
      <w:r w:rsidR="006569C7">
        <w:rPr>
          <w:rFonts w:ascii="Arial" w:hAnsi="Arial" w:cs="Arial"/>
        </w:rPr>
        <w:t xml:space="preserve"> also agreed that R&amp;D is “</w:t>
      </w:r>
      <w:r w:rsidR="006569C7" w:rsidRPr="006569C7">
        <w:rPr>
          <w:rFonts w:ascii="Arial" w:hAnsi="Arial" w:cs="Arial"/>
          <w:i/>
        </w:rPr>
        <w:t>absolutely</w:t>
      </w:r>
      <w:r w:rsidR="006569C7">
        <w:rPr>
          <w:rFonts w:ascii="Arial" w:hAnsi="Arial" w:cs="Arial"/>
        </w:rPr>
        <w:t>” important in UPR manufacturing.</w:t>
      </w:r>
      <w:r w:rsidR="006569C7">
        <w:rPr>
          <w:rStyle w:val="FootnoteReference"/>
          <w:rFonts w:ascii="Arial" w:hAnsi="Arial" w:cs="Arial"/>
        </w:rPr>
        <w:footnoteReference w:id="175"/>
      </w:r>
    </w:p>
    <w:p w:rsidR="0037149A" w:rsidRDefault="006B0301" w:rsidP="0080582B">
      <w:pPr>
        <w:pStyle w:val="ListParagraph"/>
        <w:numPr>
          <w:ilvl w:val="0"/>
          <w:numId w:val="2"/>
        </w:numPr>
        <w:spacing w:after="240" w:line="360" w:lineRule="auto"/>
        <w:ind w:left="0" w:firstLine="0"/>
        <w:jc w:val="both"/>
        <w:rPr>
          <w:rFonts w:ascii="Arial" w:hAnsi="Arial" w:cs="Arial"/>
        </w:rPr>
      </w:pPr>
      <w:r>
        <w:rPr>
          <w:rFonts w:ascii="Arial" w:hAnsi="Arial" w:cs="Arial"/>
        </w:rPr>
        <w:t xml:space="preserve">If </w:t>
      </w:r>
      <w:r w:rsidR="00CD3456">
        <w:rPr>
          <w:rFonts w:ascii="Arial" w:hAnsi="Arial" w:cs="Arial"/>
        </w:rPr>
        <w:t xml:space="preserve">each </w:t>
      </w:r>
      <w:r w:rsidRPr="0037149A">
        <w:rPr>
          <w:rFonts w:ascii="Arial" w:hAnsi="Arial" w:cs="Arial"/>
        </w:rPr>
        <w:t xml:space="preserve">competitor </w:t>
      </w:r>
      <w:r>
        <w:rPr>
          <w:rFonts w:ascii="Arial" w:hAnsi="Arial" w:cs="Arial"/>
        </w:rPr>
        <w:t>had a</w:t>
      </w:r>
      <w:r w:rsidRPr="0037149A">
        <w:rPr>
          <w:rFonts w:ascii="Arial" w:hAnsi="Arial" w:cs="Arial"/>
        </w:rPr>
        <w:t xml:space="preserve"> precise homogenous replica product</w:t>
      </w:r>
      <w:r>
        <w:rPr>
          <w:rFonts w:ascii="Arial" w:hAnsi="Arial" w:cs="Arial"/>
        </w:rPr>
        <w:t xml:space="preserve"> for each customer (at the point of </w:t>
      </w:r>
      <w:r w:rsidR="006128BA">
        <w:rPr>
          <w:rFonts w:ascii="Arial" w:hAnsi="Arial" w:cs="Arial"/>
        </w:rPr>
        <w:t>supply</w:t>
      </w:r>
      <w:r>
        <w:rPr>
          <w:rFonts w:ascii="Arial" w:hAnsi="Arial" w:cs="Arial"/>
        </w:rPr>
        <w:t>)</w:t>
      </w:r>
      <w:r w:rsidRPr="0037149A">
        <w:rPr>
          <w:rFonts w:ascii="Arial" w:hAnsi="Arial" w:cs="Arial"/>
        </w:rPr>
        <w:t>, or could easily and quickly replicate it</w:t>
      </w:r>
      <w:r>
        <w:rPr>
          <w:rFonts w:ascii="Arial" w:hAnsi="Arial" w:cs="Arial"/>
        </w:rPr>
        <w:t xml:space="preserve"> </w:t>
      </w:r>
      <w:r w:rsidR="000243F3" w:rsidRPr="0037149A">
        <w:rPr>
          <w:rFonts w:ascii="Arial" w:hAnsi="Arial" w:cs="Arial"/>
        </w:rPr>
        <w:t xml:space="preserve">then there would be no value to the </w:t>
      </w:r>
      <w:r w:rsidR="003620DA">
        <w:rPr>
          <w:rFonts w:ascii="Arial" w:hAnsi="Arial" w:cs="Arial"/>
        </w:rPr>
        <w:t xml:space="preserve">merging parties’ </w:t>
      </w:r>
      <w:r w:rsidR="00476764" w:rsidRPr="0037149A">
        <w:rPr>
          <w:rFonts w:ascii="Arial" w:hAnsi="Arial" w:cs="Arial"/>
        </w:rPr>
        <w:t>propose</w:t>
      </w:r>
      <w:r w:rsidR="00476764">
        <w:rPr>
          <w:rFonts w:ascii="Arial" w:hAnsi="Arial" w:cs="Arial"/>
        </w:rPr>
        <w:t xml:space="preserve">d </w:t>
      </w:r>
      <w:r w:rsidR="007819FE">
        <w:rPr>
          <w:rFonts w:ascii="Arial" w:hAnsi="Arial" w:cs="Arial"/>
        </w:rPr>
        <w:t>public repository</w:t>
      </w:r>
      <w:r w:rsidR="006128BA">
        <w:rPr>
          <w:rFonts w:ascii="Arial" w:hAnsi="Arial" w:cs="Arial"/>
        </w:rPr>
        <w:t>/</w:t>
      </w:r>
      <w:r w:rsidR="00C40F76">
        <w:rPr>
          <w:rFonts w:ascii="Arial" w:hAnsi="Arial" w:cs="Arial"/>
        </w:rPr>
        <w:t xml:space="preserve">divestiture </w:t>
      </w:r>
      <w:r w:rsidR="000243F3" w:rsidRPr="0037149A">
        <w:rPr>
          <w:rFonts w:ascii="Arial" w:hAnsi="Arial" w:cs="Arial"/>
        </w:rPr>
        <w:t>remed</w:t>
      </w:r>
      <w:r w:rsidR="006128BA">
        <w:rPr>
          <w:rFonts w:ascii="Arial" w:hAnsi="Arial" w:cs="Arial"/>
        </w:rPr>
        <w:t>y</w:t>
      </w:r>
      <w:r w:rsidR="000243F3" w:rsidRPr="0037149A">
        <w:rPr>
          <w:rFonts w:ascii="Arial" w:hAnsi="Arial" w:cs="Arial"/>
        </w:rPr>
        <w:t xml:space="preserve">. However, </w:t>
      </w:r>
      <w:r w:rsidR="00C40F76">
        <w:rPr>
          <w:rFonts w:ascii="Arial" w:hAnsi="Arial" w:cs="Arial"/>
        </w:rPr>
        <w:t xml:space="preserve">as already indicated above, </w:t>
      </w:r>
      <w:r w:rsidR="00A80E8D" w:rsidRPr="0037149A">
        <w:rPr>
          <w:rFonts w:ascii="Arial" w:hAnsi="Arial" w:cs="Arial"/>
        </w:rPr>
        <w:t xml:space="preserve">the </w:t>
      </w:r>
      <w:r w:rsidR="00C40F76">
        <w:rPr>
          <w:rFonts w:ascii="Arial" w:hAnsi="Arial" w:cs="Arial"/>
        </w:rPr>
        <w:t xml:space="preserve">merging parties’ own </w:t>
      </w:r>
      <w:r w:rsidR="000243F3" w:rsidRPr="0037149A">
        <w:rPr>
          <w:rFonts w:ascii="Arial" w:hAnsi="Arial" w:cs="Arial"/>
        </w:rPr>
        <w:t xml:space="preserve">witnesses </w:t>
      </w:r>
      <w:r w:rsidR="00A80E8D" w:rsidRPr="0037149A">
        <w:rPr>
          <w:rFonts w:ascii="Arial" w:hAnsi="Arial" w:cs="Arial"/>
        </w:rPr>
        <w:t>saw</w:t>
      </w:r>
      <w:r w:rsidR="000243F3" w:rsidRPr="0037149A">
        <w:rPr>
          <w:rFonts w:ascii="Arial" w:hAnsi="Arial" w:cs="Arial"/>
        </w:rPr>
        <w:t xml:space="preserve"> significant value in</w:t>
      </w:r>
      <w:r w:rsidR="00645A8F" w:rsidRPr="0037149A">
        <w:rPr>
          <w:rFonts w:ascii="Arial" w:hAnsi="Arial" w:cs="Arial"/>
        </w:rPr>
        <w:t xml:space="preserve"> the remedy. Perrow </w:t>
      </w:r>
      <w:r w:rsidR="00E24A30">
        <w:rPr>
          <w:rFonts w:ascii="Arial" w:hAnsi="Arial" w:cs="Arial"/>
        </w:rPr>
        <w:t xml:space="preserve">stated </w:t>
      </w:r>
      <w:r w:rsidR="00645A8F" w:rsidRPr="0037149A">
        <w:rPr>
          <w:rFonts w:ascii="Arial" w:hAnsi="Arial" w:cs="Arial"/>
        </w:rPr>
        <w:t xml:space="preserve">that the </w:t>
      </w:r>
      <w:r w:rsidR="003620DA">
        <w:rPr>
          <w:rFonts w:ascii="Arial" w:hAnsi="Arial" w:cs="Arial"/>
        </w:rPr>
        <w:t xml:space="preserve">product </w:t>
      </w:r>
      <w:r w:rsidR="00645A8F" w:rsidRPr="0037149A">
        <w:rPr>
          <w:rFonts w:ascii="Arial" w:hAnsi="Arial" w:cs="Arial"/>
        </w:rPr>
        <w:t xml:space="preserve">formulations </w:t>
      </w:r>
      <w:r w:rsidR="003620DA">
        <w:rPr>
          <w:rFonts w:ascii="Arial" w:hAnsi="Arial" w:cs="Arial"/>
        </w:rPr>
        <w:t xml:space="preserve">and recipes </w:t>
      </w:r>
      <w:r w:rsidR="00645A8F" w:rsidRPr="0037149A">
        <w:rPr>
          <w:rFonts w:ascii="Arial" w:hAnsi="Arial" w:cs="Arial"/>
        </w:rPr>
        <w:t xml:space="preserve">that form part of the </w:t>
      </w:r>
      <w:r w:rsidR="003620DA">
        <w:rPr>
          <w:rFonts w:ascii="Arial" w:hAnsi="Arial" w:cs="Arial"/>
        </w:rPr>
        <w:t xml:space="preserve">tendered </w:t>
      </w:r>
      <w:r w:rsidR="00645A8F" w:rsidRPr="0037149A">
        <w:rPr>
          <w:rFonts w:ascii="Arial" w:hAnsi="Arial" w:cs="Arial"/>
        </w:rPr>
        <w:t xml:space="preserve">remedy </w:t>
      </w:r>
      <w:r w:rsidR="00E24A30">
        <w:rPr>
          <w:rFonts w:ascii="Arial" w:hAnsi="Arial" w:cs="Arial"/>
        </w:rPr>
        <w:t xml:space="preserve">are </w:t>
      </w:r>
      <w:r w:rsidR="00645A8F" w:rsidRPr="0037149A">
        <w:rPr>
          <w:rFonts w:ascii="Arial" w:hAnsi="Arial" w:cs="Arial"/>
        </w:rPr>
        <w:t>“</w:t>
      </w:r>
      <w:r w:rsidR="00645A8F" w:rsidRPr="0037149A">
        <w:rPr>
          <w:rFonts w:ascii="Arial" w:hAnsi="Arial" w:cs="Arial"/>
          <w:i/>
        </w:rPr>
        <w:t>of huge value and again I realise we’ve had to offer it, we’ve had to offer this and I personally think we’ve given away too much. It’s a lot that we’ve given away</w:t>
      </w:r>
      <w:r w:rsidR="00645A8F" w:rsidRPr="0037149A">
        <w:rPr>
          <w:rFonts w:ascii="Arial" w:hAnsi="Arial" w:cs="Arial"/>
        </w:rPr>
        <w:t>”</w:t>
      </w:r>
      <w:r w:rsidR="00645A8F">
        <w:rPr>
          <w:rStyle w:val="FootnoteReference"/>
          <w:rFonts w:ascii="Arial" w:hAnsi="Arial" w:cs="Arial"/>
        </w:rPr>
        <w:footnoteReference w:id="176"/>
      </w:r>
      <w:r w:rsidR="0037149A" w:rsidRPr="0037149A">
        <w:rPr>
          <w:rFonts w:ascii="Arial" w:hAnsi="Arial" w:cs="Arial"/>
        </w:rPr>
        <w:t xml:space="preserve"> and “</w:t>
      </w:r>
      <w:r w:rsidR="00035DDB" w:rsidRPr="00035DDB">
        <w:rPr>
          <w:rFonts w:ascii="Arial" w:hAnsi="Arial" w:cs="Arial"/>
          <w:i/>
        </w:rPr>
        <w:t>S</w:t>
      </w:r>
      <w:r w:rsidR="0037149A" w:rsidRPr="0037149A">
        <w:rPr>
          <w:rFonts w:ascii="Arial" w:hAnsi="Arial" w:cs="Arial"/>
          <w:i/>
        </w:rPr>
        <w:t xml:space="preserve">o for someone coming into that market with the recipe for </w:t>
      </w:r>
      <w:r w:rsidR="0037149A">
        <w:rPr>
          <w:rFonts w:ascii="Arial" w:hAnsi="Arial" w:cs="Arial"/>
          <w:i/>
        </w:rPr>
        <w:t>[...]</w:t>
      </w:r>
      <w:r w:rsidR="0037149A" w:rsidRPr="0037149A">
        <w:rPr>
          <w:rFonts w:ascii="Arial" w:hAnsi="Arial" w:cs="Arial"/>
          <w:i/>
        </w:rPr>
        <w:t xml:space="preserve">, that’s worth a significant amount of money, but for each different customer, there will be a different value as to what the recipe is worth. But for that particular customer like </w:t>
      </w:r>
      <w:r w:rsidR="0037149A">
        <w:rPr>
          <w:rFonts w:ascii="Arial" w:hAnsi="Arial" w:cs="Arial"/>
          <w:i/>
        </w:rPr>
        <w:t>[...]</w:t>
      </w:r>
      <w:r w:rsidR="0037149A" w:rsidRPr="0037149A">
        <w:rPr>
          <w:rFonts w:ascii="Arial" w:hAnsi="Arial" w:cs="Arial"/>
          <w:i/>
        </w:rPr>
        <w:t xml:space="preserve">, and another one is </w:t>
      </w:r>
      <w:r w:rsidR="0037149A">
        <w:rPr>
          <w:rFonts w:ascii="Arial" w:hAnsi="Arial" w:cs="Arial"/>
          <w:i/>
        </w:rPr>
        <w:t>[...]</w:t>
      </w:r>
      <w:r w:rsidR="0037149A" w:rsidRPr="0037149A">
        <w:rPr>
          <w:rFonts w:ascii="Arial" w:hAnsi="Arial" w:cs="Arial"/>
          <w:i/>
        </w:rPr>
        <w:t xml:space="preserve">, where they make </w:t>
      </w:r>
      <w:r w:rsidR="00E24A30">
        <w:rPr>
          <w:rFonts w:ascii="Arial" w:hAnsi="Arial" w:cs="Arial"/>
          <w:i/>
        </w:rPr>
        <w:t>[...]</w:t>
      </w:r>
      <w:r w:rsidR="0037149A" w:rsidRPr="0037149A">
        <w:rPr>
          <w:rFonts w:ascii="Arial" w:hAnsi="Arial" w:cs="Arial"/>
          <w:i/>
        </w:rPr>
        <w:t>, Arkema’s got the best resin for that application</w:t>
      </w:r>
      <w:r w:rsidR="0037149A">
        <w:rPr>
          <w:rFonts w:ascii="Arial" w:hAnsi="Arial" w:cs="Arial"/>
        </w:rPr>
        <w:t>”</w:t>
      </w:r>
      <w:r w:rsidR="00D17D7B">
        <w:rPr>
          <w:rFonts w:ascii="Arial" w:hAnsi="Arial" w:cs="Arial"/>
        </w:rPr>
        <w:t>.</w:t>
      </w:r>
      <w:r w:rsidR="0037149A">
        <w:rPr>
          <w:rStyle w:val="FootnoteReference"/>
          <w:rFonts w:ascii="Arial" w:hAnsi="Arial" w:cs="Arial"/>
        </w:rPr>
        <w:footnoteReference w:id="177"/>
      </w:r>
    </w:p>
    <w:p w:rsidR="00685BD3" w:rsidRPr="007A51EB" w:rsidRDefault="00446839" w:rsidP="0080582B">
      <w:pPr>
        <w:pStyle w:val="ListParagraph"/>
        <w:numPr>
          <w:ilvl w:val="0"/>
          <w:numId w:val="2"/>
        </w:numPr>
        <w:spacing w:after="240" w:line="360" w:lineRule="auto"/>
        <w:ind w:left="0" w:firstLine="0"/>
        <w:jc w:val="both"/>
        <w:rPr>
          <w:rFonts w:ascii="Arial" w:hAnsi="Arial" w:cs="Arial"/>
        </w:rPr>
      </w:pPr>
      <w:r w:rsidRPr="007A51EB">
        <w:rPr>
          <w:rFonts w:ascii="Arial" w:hAnsi="Arial" w:cs="Arial"/>
        </w:rPr>
        <w:t>Furthermore</w:t>
      </w:r>
      <w:r w:rsidR="00E24A30">
        <w:rPr>
          <w:rFonts w:ascii="Arial" w:hAnsi="Arial" w:cs="Arial"/>
        </w:rPr>
        <w:t>,</w:t>
      </w:r>
      <w:r w:rsidRPr="007A51EB">
        <w:rPr>
          <w:rFonts w:ascii="Arial" w:hAnsi="Arial" w:cs="Arial"/>
        </w:rPr>
        <w:t xml:space="preserve"> from a customer’s perspective, switching is not costless, </w:t>
      </w:r>
      <w:proofErr w:type="gramStart"/>
      <w:r w:rsidRPr="007A51EB">
        <w:rPr>
          <w:rFonts w:ascii="Arial" w:hAnsi="Arial" w:cs="Arial"/>
        </w:rPr>
        <w:t>nor</w:t>
      </w:r>
      <w:proofErr w:type="gramEnd"/>
      <w:r w:rsidRPr="007A51EB">
        <w:rPr>
          <w:rFonts w:ascii="Arial" w:hAnsi="Arial" w:cs="Arial"/>
        </w:rPr>
        <w:t xml:space="preserve"> necessarily timely nor without risk.</w:t>
      </w:r>
      <w:r w:rsidR="007A51EB" w:rsidRPr="007A51EB">
        <w:rPr>
          <w:rFonts w:ascii="Arial" w:hAnsi="Arial" w:cs="Arial"/>
        </w:rPr>
        <w:t xml:space="preserve"> </w:t>
      </w:r>
      <w:r w:rsidR="00E24A30">
        <w:rPr>
          <w:rFonts w:ascii="Arial" w:hAnsi="Arial" w:cs="Arial"/>
        </w:rPr>
        <w:t xml:space="preserve">The </w:t>
      </w:r>
      <w:r w:rsidR="00685BD3" w:rsidRPr="007A51EB">
        <w:rPr>
          <w:rFonts w:ascii="Arial" w:hAnsi="Arial" w:cs="Arial"/>
        </w:rPr>
        <w:t xml:space="preserve">witnesses </w:t>
      </w:r>
      <w:r w:rsidR="00E24A30">
        <w:rPr>
          <w:rFonts w:ascii="Arial" w:hAnsi="Arial" w:cs="Arial"/>
        </w:rPr>
        <w:t>confirmed</w:t>
      </w:r>
      <w:r w:rsidR="00685BD3" w:rsidRPr="007A51EB">
        <w:rPr>
          <w:rFonts w:ascii="Arial" w:hAnsi="Arial" w:cs="Arial"/>
        </w:rPr>
        <w:t xml:space="preserve"> the need for testing a product sample and </w:t>
      </w:r>
      <w:r w:rsidR="006E4F63">
        <w:rPr>
          <w:rFonts w:ascii="Arial" w:hAnsi="Arial" w:cs="Arial"/>
        </w:rPr>
        <w:t>performing</w:t>
      </w:r>
      <w:r w:rsidR="00685BD3" w:rsidRPr="007A51EB">
        <w:rPr>
          <w:rFonts w:ascii="Arial" w:hAnsi="Arial" w:cs="Arial"/>
        </w:rPr>
        <w:t xml:space="preserve"> production trials to determine how it performs on their production line</w:t>
      </w:r>
      <w:r w:rsidR="00E24A30">
        <w:rPr>
          <w:rFonts w:ascii="Arial" w:hAnsi="Arial" w:cs="Arial"/>
        </w:rPr>
        <w:t>s</w:t>
      </w:r>
      <w:r w:rsidR="00685BD3" w:rsidRPr="007A51EB">
        <w:rPr>
          <w:rFonts w:ascii="Arial" w:hAnsi="Arial" w:cs="Arial"/>
        </w:rPr>
        <w:t xml:space="preserve"> </w:t>
      </w:r>
      <w:r w:rsidR="006E4F63">
        <w:rPr>
          <w:rFonts w:ascii="Arial" w:hAnsi="Arial" w:cs="Arial"/>
        </w:rPr>
        <w:t>prior to</w:t>
      </w:r>
      <w:r w:rsidR="00685BD3" w:rsidRPr="007A51EB">
        <w:rPr>
          <w:rFonts w:ascii="Arial" w:hAnsi="Arial" w:cs="Arial"/>
        </w:rPr>
        <w:t xml:space="preserve"> adopting any new product. </w:t>
      </w:r>
      <w:r w:rsidR="00D17D7B">
        <w:rPr>
          <w:rFonts w:ascii="Arial" w:hAnsi="Arial" w:cs="Arial"/>
        </w:rPr>
        <w:t>Moreover</w:t>
      </w:r>
      <w:r w:rsidR="007D3A77">
        <w:rPr>
          <w:rFonts w:ascii="Arial" w:hAnsi="Arial" w:cs="Arial"/>
        </w:rPr>
        <w:t>, consistent supply of the</w:t>
      </w:r>
      <w:r w:rsidR="00FF4A1B">
        <w:rPr>
          <w:rFonts w:ascii="Arial" w:hAnsi="Arial" w:cs="Arial"/>
        </w:rPr>
        <w:t xml:space="preserve"> </w:t>
      </w:r>
      <w:r w:rsidR="007D3A77">
        <w:rPr>
          <w:rFonts w:ascii="Arial" w:hAnsi="Arial" w:cs="Arial"/>
        </w:rPr>
        <w:t>correct quality</w:t>
      </w:r>
      <w:r w:rsidR="00FF4A1B">
        <w:rPr>
          <w:rFonts w:ascii="Arial" w:hAnsi="Arial" w:cs="Arial"/>
        </w:rPr>
        <w:t>,</w:t>
      </w:r>
      <w:r w:rsidR="007D3A77">
        <w:rPr>
          <w:rFonts w:ascii="Arial" w:hAnsi="Arial" w:cs="Arial"/>
        </w:rPr>
        <w:t xml:space="preserve"> wit</w:t>
      </w:r>
      <w:r w:rsidR="00FF4A1B">
        <w:rPr>
          <w:rFonts w:ascii="Arial" w:hAnsi="Arial" w:cs="Arial"/>
        </w:rPr>
        <w:t>h</w:t>
      </w:r>
      <w:r w:rsidR="007D3A77">
        <w:rPr>
          <w:rFonts w:ascii="Arial" w:hAnsi="Arial" w:cs="Arial"/>
        </w:rPr>
        <w:t>out variation</w:t>
      </w:r>
      <w:r w:rsidR="00FF4A1B">
        <w:rPr>
          <w:rFonts w:ascii="Arial" w:hAnsi="Arial" w:cs="Arial"/>
        </w:rPr>
        <w:t>,</w:t>
      </w:r>
      <w:r w:rsidR="007D3A77">
        <w:rPr>
          <w:rFonts w:ascii="Arial" w:hAnsi="Arial" w:cs="Arial"/>
        </w:rPr>
        <w:t xml:space="preserve"> is important. </w:t>
      </w:r>
      <w:r w:rsidR="00D9672C">
        <w:rPr>
          <w:rFonts w:ascii="Arial" w:hAnsi="Arial" w:cs="Arial"/>
        </w:rPr>
        <w:t>Switching between suppliers</w:t>
      </w:r>
      <w:r w:rsidR="00685BD3" w:rsidRPr="007A51EB">
        <w:rPr>
          <w:rFonts w:ascii="Arial" w:hAnsi="Arial" w:cs="Arial"/>
        </w:rPr>
        <w:t xml:space="preserve"> </w:t>
      </w:r>
      <w:r w:rsidR="003620DA">
        <w:rPr>
          <w:rFonts w:ascii="Arial" w:hAnsi="Arial" w:cs="Arial"/>
        </w:rPr>
        <w:t xml:space="preserve">implies additional </w:t>
      </w:r>
      <w:r w:rsidR="00685BD3" w:rsidRPr="007A51EB">
        <w:rPr>
          <w:rFonts w:ascii="Arial" w:hAnsi="Arial" w:cs="Arial"/>
        </w:rPr>
        <w:t>costs for the customer (both purchasing samples but also the cost of cleaning out and doing production run</w:t>
      </w:r>
      <w:r w:rsidR="00286A17">
        <w:rPr>
          <w:rFonts w:ascii="Arial" w:hAnsi="Arial" w:cs="Arial"/>
        </w:rPr>
        <w:t>s</w:t>
      </w:r>
      <w:r w:rsidR="00685BD3" w:rsidRPr="007A51EB">
        <w:rPr>
          <w:rFonts w:ascii="Arial" w:hAnsi="Arial" w:cs="Arial"/>
        </w:rPr>
        <w:t xml:space="preserve"> with a new product</w:t>
      </w:r>
      <w:r w:rsidR="00286A17">
        <w:rPr>
          <w:rFonts w:ascii="Arial" w:hAnsi="Arial" w:cs="Arial"/>
        </w:rPr>
        <w:t xml:space="preserve"> to ensure the suitability and quality of the </w:t>
      </w:r>
      <w:r w:rsidR="00BB65F6">
        <w:rPr>
          <w:rFonts w:ascii="Arial" w:hAnsi="Arial" w:cs="Arial"/>
        </w:rPr>
        <w:t xml:space="preserve">UPR </w:t>
      </w:r>
      <w:r w:rsidR="00286A17">
        <w:rPr>
          <w:rFonts w:ascii="Arial" w:hAnsi="Arial" w:cs="Arial"/>
        </w:rPr>
        <w:t>product</w:t>
      </w:r>
      <w:r w:rsidR="00685BD3" w:rsidRPr="007A51EB">
        <w:rPr>
          <w:rFonts w:ascii="Arial" w:hAnsi="Arial" w:cs="Arial"/>
        </w:rPr>
        <w:t xml:space="preserve">) </w:t>
      </w:r>
      <w:r w:rsidR="00D9672C">
        <w:rPr>
          <w:rFonts w:ascii="Arial" w:hAnsi="Arial" w:cs="Arial"/>
        </w:rPr>
        <w:t>and</w:t>
      </w:r>
      <w:r w:rsidR="00685BD3" w:rsidRPr="007A51EB">
        <w:rPr>
          <w:rFonts w:ascii="Arial" w:hAnsi="Arial" w:cs="Arial"/>
        </w:rPr>
        <w:t xml:space="preserve"> also takes considerable </w:t>
      </w:r>
      <w:r w:rsidR="00442803">
        <w:rPr>
          <w:rFonts w:ascii="Arial" w:hAnsi="Arial" w:cs="Arial"/>
        </w:rPr>
        <w:t xml:space="preserve">(management) </w:t>
      </w:r>
      <w:r w:rsidR="00685BD3" w:rsidRPr="007A51EB">
        <w:rPr>
          <w:rFonts w:ascii="Arial" w:hAnsi="Arial" w:cs="Arial"/>
        </w:rPr>
        <w:t>time</w:t>
      </w:r>
      <w:r w:rsidR="00442803">
        <w:rPr>
          <w:rFonts w:ascii="Arial" w:hAnsi="Arial" w:cs="Arial"/>
        </w:rPr>
        <w:t xml:space="preserve"> and effort</w:t>
      </w:r>
      <w:r w:rsidR="00685BD3" w:rsidRPr="007A51EB">
        <w:rPr>
          <w:rFonts w:ascii="Arial" w:hAnsi="Arial" w:cs="Arial"/>
        </w:rPr>
        <w:t xml:space="preserve">. This indicates </w:t>
      </w:r>
      <w:r w:rsidR="00D9672C">
        <w:rPr>
          <w:rFonts w:ascii="Arial" w:hAnsi="Arial" w:cs="Arial"/>
        </w:rPr>
        <w:t xml:space="preserve">that </w:t>
      </w:r>
      <w:r w:rsidR="00685BD3" w:rsidRPr="007A51EB">
        <w:rPr>
          <w:rFonts w:ascii="Arial" w:hAnsi="Arial" w:cs="Arial"/>
        </w:rPr>
        <w:t>switching is</w:t>
      </w:r>
      <w:r w:rsidR="00312E28">
        <w:rPr>
          <w:rFonts w:ascii="Arial" w:hAnsi="Arial" w:cs="Arial"/>
        </w:rPr>
        <w:t xml:space="preserve"> both</w:t>
      </w:r>
      <w:r w:rsidR="00685BD3" w:rsidRPr="007A51EB">
        <w:rPr>
          <w:rFonts w:ascii="Arial" w:hAnsi="Arial" w:cs="Arial"/>
        </w:rPr>
        <w:t xml:space="preserve"> costly and time consuming.</w:t>
      </w:r>
      <w:r w:rsidR="007A51EB">
        <w:rPr>
          <w:rStyle w:val="FootnoteReference"/>
          <w:rFonts w:ascii="Arial" w:hAnsi="Arial" w:cs="Arial"/>
        </w:rPr>
        <w:footnoteReference w:id="178"/>
      </w:r>
      <w:r w:rsidR="00685BD3" w:rsidRPr="007A51EB">
        <w:rPr>
          <w:rFonts w:ascii="Arial" w:hAnsi="Arial" w:cs="Arial"/>
        </w:rPr>
        <w:t xml:space="preserve"> </w:t>
      </w:r>
    </w:p>
    <w:p w:rsidR="00F95A07" w:rsidRDefault="00F95A07" w:rsidP="0080582B">
      <w:pPr>
        <w:pStyle w:val="ListParagraph"/>
        <w:numPr>
          <w:ilvl w:val="0"/>
          <w:numId w:val="2"/>
        </w:numPr>
        <w:spacing w:after="240" w:line="360" w:lineRule="auto"/>
        <w:ind w:left="0" w:firstLine="0"/>
        <w:jc w:val="both"/>
        <w:rPr>
          <w:rFonts w:ascii="Arial" w:hAnsi="Arial" w:cs="Arial"/>
        </w:rPr>
      </w:pPr>
      <w:r w:rsidRPr="00F95A07">
        <w:rPr>
          <w:rFonts w:ascii="Arial" w:hAnsi="Arial" w:cs="Arial"/>
        </w:rPr>
        <w:t>In conclusion,</w:t>
      </w:r>
      <w:r>
        <w:rPr>
          <w:rFonts w:ascii="Arial" w:hAnsi="Arial" w:cs="Arial"/>
        </w:rPr>
        <w:t xml:space="preserve"> </w:t>
      </w:r>
      <w:r w:rsidRPr="00F95A07">
        <w:rPr>
          <w:rFonts w:ascii="Arial" w:hAnsi="Arial" w:cs="Arial"/>
        </w:rPr>
        <w:t xml:space="preserve">each producer is </w:t>
      </w:r>
      <w:r w:rsidR="00907A41">
        <w:rPr>
          <w:rFonts w:ascii="Arial" w:hAnsi="Arial" w:cs="Arial"/>
        </w:rPr>
        <w:t xml:space="preserve">not </w:t>
      </w:r>
      <w:r w:rsidRPr="00F95A07">
        <w:rPr>
          <w:rFonts w:ascii="Arial" w:hAnsi="Arial" w:cs="Arial"/>
        </w:rPr>
        <w:t>equally able to offer homogenous products at homogenous prices</w:t>
      </w:r>
      <w:r>
        <w:rPr>
          <w:rFonts w:ascii="Arial" w:hAnsi="Arial" w:cs="Arial"/>
        </w:rPr>
        <w:t>, as argued by the merging parties</w:t>
      </w:r>
      <w:r w:rsidRPr="00F95A07">
        <w:rPr>
          <w:rFonts w:ascii="Arial" w:hAnsi="Arial" w:cs="Arial"/>
        </w:rPr>
        <w:t xml:space="preserve">. Rather </w:t>
      </w:r>
      <w:r>
        <w:rPr>
          <w:rFonts w:ascii="Arial" w:hAnsi="Arial" w:cs="Arial"/>
        </w:rPr>
        <w:t xml:space="preserve">the market is far more complex with </w:t>
      </w:r>
      <w:r w:rsidRPr="00F95A07">
        <w:rPr>
          <w:rFonts w:ascii="Arial" w:hAnsi="Arial" w:cs="Arial"/>
        </w:rPr>
        <w:t>a range of general application</w:t>
      </w:r>
      <w:r w:rsidR="003620DA">
        <w:rPr>
          <w:rFonts w:ascii="Arial" w:hAnsi="Arial" w:cs="Arial"/>
        </w:rPr>
        <w:t>,</w:t>
      </w:r>
      <w:r w:rsidRPr="00F95A07">
        <w:rPr>
          <w:rFonts w:ascii="Arial" w:hAnsi="Arial" w:cs="Arial"/>
        </w:rPr>
        <w:t xml:space="preserve"> specialist </w:t>
      </w:r>
      <w:r w:rsidR="003620DA">
        <w:rPr>
          <w:rFonts w:ascii="Arial" w:hAnsi="Arial" w:cs="Arial"/>
        </w:rPr>
        <w:t xml:space="preserve">and customised </w:t>
      </w:r>
      <w:r w:rsidRPr="00F95A07">
        <w:rPr>
          <w:rFonts w:ascii="Arial" w:hAnsi="Arial" w:cs="Arial"/>
        </w:rPr>
        <w:t xml:space="preserve">resins sold to thousands of customers. </w:t>
      </w:r>
      <w:r w:rsidR="0017476C">
        <w:rPr>
          <w:rFonts w:ascii="Arial" w:hAnsi="Arial" w:cs="Arial"/>
        </w:rPr>
        <w:t>T</w:t>
      </w:r>
      <w:r w:rsidR="0017476C" w:rsidRPr="0017476C">
        <w:rPr>
          <w:rFonts w:ascii="Arial" w:hAnsi="Arial" w:cs="Arial"/>
        </w:rPr>
        <w:t>he product range</w:t>
      </w:r>
      <w:r w:rsidR="003620DA">
        <w:rPr>
          <w:rFonts w:ascii="Arial" w:hAnsi="Arial" w:cs="Arial"/>
        </w:rPr>
        <w:t>s</w:t>
      </w:r>
      <w:r w:rsidR="0017476C" w:rsidRPr="0017476C">
        <w:rPr>
          <w:rFonts w:ascii="Arial" w:hAnsi="Arial" w:cs="Arial"/>
        </w:rPr>
        <w:t xml:space="preserve">, qualities, capabilities and pricing differ </w:t>
      </w:r>
      <w:r w:rsidR="0017476C" w:rsidRPr="0017476C">
        <w:rPr>
          <w:rFonts w:ascii="Arial" w:hAnsi="Arial" w:cs="Arial"/>
        </w:rPr>
        <w:lastRenderedPageBreak/>
        <w:t xml:space="preserve">between the various producers and </w:t>
      </w:r>
      <w:r w:rsidR="0017476C">
        <w:rPr>
          <w:rFonts w:ascii="Arial" w:hAnsi="Arial" w:cs="Arial"/>
        </w:rPr>
        <w:t>each producer</w:t>
      </w:r>
      <w:r w:rsidR="004F07A3">
        <w:rPr>
          <w:rFonts w:ascii="Arial" w:hAnsi="Arial" w:cs="Arial"/>
        </w:rPr>
        <w:t>’</w:t>
      </w:r>
      <w:r w:rsidR="0017476C">
        <w:rPr>
          <w:rFonts w:ascii="Arial" w:hAnsi="Arial" w:cs="Arial"/>
        </w:rPr>
        <w:t xml:space="preserve">s </w:t>
      </w:r>
      <w:r w:rsidR="0017476C" w:rsidRPr="0017476C">
        <w:rPr>
          <w:rFonts w:ascii="Arial" w:hAnsi="Arial" w:cs="Arial"/>
        </w:rPr>
        <w:t xml:space="preserve">share of the </w:t>
      </w:r>
      <w:r w:rsidR="00580CB1">
        <w:rPr>
          <w:rFonts w:ascii="Arial" w:hAnsi="Arial" w:cs="Arial"/>
        </w:rPr>
        <w:t xml:space="preserve">UPR </w:t>
      </w:r>
      <w:r w:rsidR="0017476C" w:rsidRPr="0017476C">
        <w:rPr>
          <w:rFonts w:ascii="Arial" w:hAnsi="Arial" w:cs="Arial"/>
        </w:rPr>
        <w:t xml:space="preserve">market </w:t>
      </w:r>
      <w:r w:rsidR="003620DA">
        <w:rPr>
          <w:rFonts w:ascii="Arial" w:hAnsi="Arial" w:cs="Arial"/>
        </w:rPr>
        <w:t xml:space="preserve">therefore </w:t>
      </w:r>
      <w:r w:rsidR="0017476C">
        <w:rPr>
          <w:rFonts w:ascii="Arial" w:hAnsi="Arial" w:cs="Arial"/>
        </w:rPr>
        <w:t xml:space="preserve">provides </w:t>
      </w:r>
      <w:r w:rsidR="003620DA">
        <w:rPr>
          <w:rFonts w:ascii="Arial" w:hAnsi="Arial" w:cs="Arial"/>
        </w:rPr>
        <w:t xml:space="preserve">a good first </w:t>
      </w:r>
      <w:r w:rsidR="0017476C">
        <w:rPr>
          <w:rFonts w:ascii="Arial" w:hAnsi="Arial" w:cs="Arial"/>
        </w:rPr>
        <w:t xml:space="preserve">indication of its </w:t>
      </w:r>
      <w:r w:rsidR="003620DA">
        <w:rPr>
          <w:rFonts w:ascii="Arial" w:hAnsi="Arial" w:cs="Arial"/>
        </w:rPr>
        <w:t xml:space="preserve">overall </w:t>
      </w:r>
      <w:r w:rsidR="0017476C" w:rsidRPr="0017476C">
        <w:rPr>
          <w:rFonts w:ascii="Arial" w:hAnsi="Arial" w:cs="Arial"/>
        </w:rPr>
        <w:t xml:space="preserve">capabilities.  </w:t>
      </w:r>
    </w:p>
    <w:p w:rsidR="00FB0204" w:rsidRPr="00C40F76" w:rsidRDefault="00580CB1" w:rsidP="0080582B">
      <w:pPr>
        <w:pStyle w:val="ListParagraph"/>
        <w:numPr>
          <w:ilvl w:val="0"/>
          <w:numId w:val="2"/>
        </w:numPr>
        <w:spacing w:after="240" w:line="360" w:lineRule="auto"/>
        <w:ind w:left="0" w:firstLine="0"/>
        <w:jc w:val="both"/>
        <w:rPr>
          <w:rFonts w:ascii="Arial" w:hAnsi="Arial" w:cs="Arial"/>
        </w:rPr>
      </w:pPr>
      <w:r>
        <w:rPr>
          <w:rFonts w:ascii="Arial" w:hAnsi="Arial" w:cs="Arial"/>
        </w:rPr>
        <w:t>However, g</w:t>
      </w:r>
      <w:r w:rsidR="00C40F76" w:rsidRPr="00C40F76">
        <w:rPr>
          <w:rFonts w:ascii="Arial" w:hAnsi="Arial" w:cs="Arial"/>
        </w:rPr>
        <w:t>iven the divestiture remedy tendered by the merging parties, there is no need for us to deal extensively with all of the disputes between the Commission and the merging parties regarding the likely competition effects in the UPR market. We shall however deal</w:t>
      </w:r>
      <w:r w:rsidR="00312E28">
        <w:rPr>
          <w:rFonts w:ascii="Arial" w:hAnsi="Arial" w:cs="Arial"/>
        </w:rPr>
        <w:t xml:space="preserve"> briefly</w:t>
      </w:r>
      <w:r w:rsidR="00C40F76" w:rsidRPr="00C40F76">
        <w:rPr>
          <w:rFonts w:ascii="Arial" w:hAnsi="Arial" w:cs="Arial"/>
        </w:rPr>
        <w:t xml:space="preserve"> with two specific issues raised by the Commission. </w:t>
      </w:r>
      <w:r w:rsidR="00822D31" w:rsidRPr="00C40F76">
        <w:rPr>
          <w:rFonts w:ascii="Arial" w:hAnsi="Arial" w:cs="Arial"/>
        </w:rPr>
        <w:t>T</w:t>
      </w:r>
      <w:r w:rsidR="00FB0204" w:rsidRPr="00C40F76">
        <w:rPr>
          <w:rFonts w:ascii="Arial" w:hAnsi="Arial" w:cs="Arial"/>
        </w:rPr>
        <w:t xml:space="preserve">he </w:t>
      </w:r>
      <w:r w:rsidR="00C40F76" w:rsidRPr="00C40F76">
        <w:rPr>
          <w:rFonts w:ascii="Arial" w:hAnsi="Arial" w:cs="Arial"/>
        </w:rPr>
        <w:t xml:space="preserve">first is that the </w:t>
      </w:r>
      <w:r w:rsidR="00FB0204" w:rsidRPr="00C40F76">
        <w:rPr>
          <w:rFonts w:ascii="Arial" w:hAnsi="Arial" w:cs="Arial"/>
        </w:rPr>
        <w:t xml:space="preserve">Commission sought to characterise </w:t>
      </w:r>
      <w:r w:rsidR="0003458F" w:rsidRPr="00C40F76">
        <w:rPr>
          <w:rFonts w:ascii="Arial" w:hAnsi="Arial" w:cs="Arial"/>
        </w:rPr>
        <w:t xml:space="preserve">KZN Resins as a </w:t>
      </w:r>
      <w:r w:rsidR="00D17D7B">
        <w:rPr>
          <w:rFonts w:ascii="Arial" w:hAnsi="Arial" w:cs="Arial"/>
        </w:rPr>
        <w:t>“</w:t>
      </w:r>
      <w:r w:rsidR="0003458F" w:rsidRPr="00C40F76">
        <w:rPr>
          <w:rFonts w:ascii="Arial" w:hAnsi="Arial" w:cs="Arial"/>
        </w:rPr>
        <w:t>low quality</w:t>
      </w:r>
      <w:r w:rsidR="00D17D7B">
        <w:rPr>
          <w:rFonts w:ascii="Arial" w:hAnsi="Arial" w:cs="Arial"/>
        </w:rPr>
        <w:t>”</w:t>
      </w:r>
      <w:r w:rsidR="0003458F" w:rsidRPr="00C40F76">
        <w:rPr>
          <w:rFonts w:ascii="Arial" w:hAnsi="Arial" w:cs="Arial"/>
        </w:rPr>
        <w:t xml:space="preserve"> producer and </w:t>
      </w:r>
      <w:r w:rsidR="00FB0204" w:rsidRPr="00C40F76">
        <w:rPr>
          <w:rFonts w:ascii="Arial" w:hAnsi="Arial" w:cs="Arial"/>
        </w:rPr>
        <w:t xml:space="preserve">Scott Bader as a </w:t>
      </w:r>
      <w:r w:rsidR="00D17D7B">
        <w:rPr>
          <w:rFonts w:ascii="Arial" w:hAnsi="Arial" w:cs="Arial"/>
        </w:rPr>
        <w:t>“</w:t>
      </w:r>
      <w:r w:rsidR="00FB0204" w:rsidRPr="00C40F76">
        <w:rPr>
          <w:rFonts w:ascii="Arial" w:hAnsi="Arial" w:cs="Arial"/>
        </w:rPr>
        <w:t>high-priced</w:t>
      </w:r>
      <w:r w:rsidR="00D17D7B">
        <w:rPr>
          <w:rFonts w:ascii="Arial" w:hAnsi="Arial" w:cs="Arial"/>
        </w:rPr>
        <w:t>”</w:t>
      </w:r>
      <w:r w:rsidR="00FB0204" w:rsidRPr="00C40F76">
        <w:rPr>
          <w:rFonts w:ascii="Arial" w:hAnsi="Arial" w:cs="Arial"/>
        </w:rPr>
        <w:t xml:space="preserve"> competitor.</w:t>
      </w:r>
    </w:p>
    <w:p w:rsidR="00580CB1" w:rsidRDefault="00F2497C" w:rsidP="0080582B">
      <w:pPr>
        <w:pStyle w:val="ListParagraph"/>
        <w:numPr>
          <w:ilvl w:val="0"/>
          <w:numId w:val="2"/>
        </w:numPr>
        <w:spacing w:after="240" w:line="360" w:lineRule="auto"/>
        <w:ind w:left="0" w:firstLine="0"/>
        <w:jc w:val="both"/>
        <w:rPr>
          <w:rFonts w:ascii="Arial" w:hAnsi="Arial" w:cs="Arial"/>
        </w:rPr>
      </w:pPr>
      <w:r w:rsidRPr="00580CB1">
        <w:rPr>
          <w:rFonts w:ascii="Arial" w:hAnsi="Arial" w:cs="Arial"/>
        </w:rPr>
        <w:t xml:space="preserve">With regards to KZN Resins the Commission asserted that KZN is perceived as </w:t>
      </w:r>
      <w:r w:rsidR="00C573C3">
        <w:rPr>
          <w:rFonts w:ascii="Arial" w:hAnsi="Arial" w:cs="Arial"/>
        </w:rPr>
        <w:t xml:space="preserve">a </w:t>
      </w:r>
      <w:r w:rsidRPr="00580CB1">
        <w:rPr>
          <w:rFonts w:ascii="Arial" w:hAnsi="Arial" w:cs="Arial"/>
        </w:rPr>
        <w:t>“</w:t>
      </w:r>
      <w:r w:rsidRPr="00C573C3">
        <w:rPr>
          <w:rFonts w:ascii="Arial" w:hAnsi="Arial" w:cs="Arial"/>
          <w:i/>
        </w:rPr>
        <w:t>low quality</w:t>
      </w:r>
      <w:r w:rsidRPr="00580CB1">
        <w:rPr>
          <w:rFonts w:ascii="Arial" w:hAnsi="Arial" w:cs="Arial"/>
        </w:rPr>
        <w:t>” producer with limited technological capacity.</w:t>
      </w:r>
      <w:r w:rsidR="008B0A5B" w:rsidRPr="00580CB1">
        <w:rPr>
          <w:rFonts w:ascii="Arial" w:hAnsi="Arial" w:cs="Arial"/>
        </w:rPr>
        <w:t xml:space="preserve"> </w:t>
      </w:r>
      <w:r w:rsidR="00580CB1" w:rsidRPr="00580CB1">
        <w:rPr>
          <w:rFonts w:ascii="Arial" w:hAnsi="Arial" w:cs="Arial"/>
        </w:rPr>
        <w:t xml:space="preserve">It is true that </w:t>
      </w:r>
      <w:r w:rsidR="009D496D" w:rsidRPr="00580CB1">
        <w:rPr>
          <w:rFonts w:ascii="Arial" w:hAnsi="Arial" w:cs="Arial"/>
        </w:rPr>
        <w:t>KZN Resins is a family-run business with no international technological links.</w:t>
      </w:r>
      <w:r w:rsidR="009D496D">
        <w:rPr>
          <w:rStyle w:val="FootnoteReference"/>
          <w:rFonts w:ascii="Arial" w:hAnsi="Arial" w:cs="Arial"/>
        </w:rPr>
        <w:footnoteReference w:id="179"/>
      </w:r>
      <w:r w:rsidR="009D496D" w:rsidRPr="00580CB1">
        <w:rPr>
          <w:rFonts w:ascii="Arial" w:hAnsi="Arial" w:cs="Arial"/>
        </w:rPr>
        <w:t xml:space="preserve"> It</w:t>
      </w:r>
      <w:r w:rsidR="001F0D76" w:rsidRPr="00580CB1">
        <w:rPr>
          <w:rFonts w:ascii="Arial" w:hAnsi="Arial" w:cs="Arial"/>
        </w:rPr>
        <w:t xml:space="preserve"> </w:t>
      </w:r>
      <w:r w:rsidR="005A0DCD" w:rsidRPr="00580CB1">
        <w:rPr>
          <w:rFonts w:ascii="Arial" w:hAnsi="Arial" w:cs="Arial"/>
        </w:rPr>
        <w:t xml:space="preserve">focuses on supplying </w:t>
      </w:r>
      <w:r w:rsidR="001F0D76" w:rsidRPr="00580CB1">
        <w:rPr>
          <w:rFonts w:ascii="Arial" w:hAnsi="Arial" w:cs="Arial"/>
        </w:rPr>
        <w:t>resellers who buy general purpose resins</w:t>
      </w:r>
      <w:r w:rsidR="001F0D76" w:rsidRPr="001F0D76">
        <w:rPr>
          <w:rStyle w:val="FootnoteReference"/>
          <w:rFonts w:ascii="Arial" w:hAnsi="Arial" w:cs="Arial"/>
        </w:rPr>
        <w:footnoteReference w:id="180"/>
      </w:r>
      <w:r w:rsidR="001F0D76" w:rsidRPr="00580CB1">
        <w:rPr>
          <w:rFonts w:ascii="Arial" w:hAnsi="Arial" w:cs="Arial"/>
        </w:rPr>
        <w:t xml:space="preserve"> and further service</w:t>
      </w:r>
      <w:r w:rsidR="00B22F27">
        <w:rPr>
          <w:rFonts w:ascii="Arial" w:hAnsi="Arial" w:cs="Arial"/>
        </w:rPr>
        <w:t>s</w:t>
      </w:r>
      <w:r w:rsidR="001F0D76" w:rsidRPr="00580CB1">
        <w:rPr>
          <w:rFonts w:ascii="Arial" w:hAnsi="Arial" w:cs="Arial"/>
        </w:rPr>
        <w:t xml:space="preserve"> small</w:t>
      </w:r>
      <w:r w:rsidR="003918E1">
        <w:rPr>
          <w:rFonts w:ascii="Arial" w:hAnsi="Arial" w:cs="Arial"/>
        </w:rPr>
        <w:t>er</w:t>
      </w:r>
      <w:r w:rsidR="001F0D76" w:rsidRPr="00580CB1">
        <w:rPr>
          <w:rFonts w:ascii="Arial" w:hAnsi="Arial" w:cs="Arial"/>
        </w:rPr>
        <w:t xml:space="preserve"> customers.</w:t>
      </w:r>
      <w:r w:rsidR="00E24A30" w:rsidRPr="00580CB1">
        <w:rPr>
          <w:rFonts w:ascii="Arial" w:hAnsi="Arial" w:cs="Arial"/>
        </w:rPr>
        <w:t xml:space="preserve"> </w:t>
      </w:r>
    </w:p>
    <w:p w:rsidR="00272231" w:rsidRPr="00580CB1" w:rsidRDefault="00C573C3" w:rsidP="0080582B">
      <w:pPr>
        <w:pStyle w:val="ListParagraph"/>
        <w:numPr>
          <w:ilvl w:val="0"/>
          <w:numId w:val="2"/>
        </w:numPr>
        <w:spacing w:after="240" w:line="360" w:lineRule="auto"/>
        <w:ind w:left="0" w:firstLine="0"/>
        <w:jc w:val="both"/>
        <w:rPr>
          <w:rFonts w:ascii="Arial" w:hAnsi="Arial" w:cs="Arial"/>
        </w:rPr>
      </w:pPr>
      <w:r>
        <w:rPr>
          <w:rFonts w:ascii="Arial" w:hAnsi="Arial" w:cs="Arial"/>
        </w:rPr>
        <w:t>Although t</w:t>
      </w:r>
      <w:r w:rsidR="00334095" w:rsidRPr="00580CB1">
        <w:rPr>
          <w:rFonts w:ascii="Arial" w:hAnsi="Arial" w:cs="Arial"/>
        </w:rPr>
        <w:t xml:space="preserve">he balance of </w:t>
      </w:r>
      <w:r w:rsidR="001F0D76" w:rsidRPr="00580CB1">
        <w:rPr>
          <w:rFonts w:ascii="Arial" w:hAnsi="Arial" w:cs="Arial"/>
        </w:rPr>
        <w:t xml:space="preserve">views </w:t>
      </w:r>
      <w:r w:rsidR="00B9372B" w:rsidRPr="00580CB1">
        <w:rPr>
          <w:rFonts w:ascii="Arial" w:hAnsi="Arial" w:cs="Arial"/>
        </w:rPr>
        <w:t>was</w:t>
      </w:r>
      <w:r w:rsidR="001F0D76" w:rsidRPr="00580CB1">
        <w:rPr>
          <w:rFonts w:ascii="Arial" w:hAnsi="Arial" w:cs="Arial"/>
        </w:rPr>
        <w:t xml:space="preserve"> </w:t>
      </w:r>
      <w:r w:rsidR="00507DA0" w:rsidRPr="00580CB1">
        <w:rPr>
          <w:rFonts w:ascii="Arial" w:hAnsi="Arial" w:cs="Arial"/>
        </w:rPr>
        <w:t xml:space="preserve">that </w:t>
      </w:r>
      <w:r w:rsidR="00334095" w:rsidRPr="00580CB1">
        <w:rPr>
          <w:rFonts w:ascii="Arial" w:hAnsi="Arial" w:cs="Arial"/>
        </w:rPr>
        <w:t>KZN Resins is competitive on price</w:t>
      </w:r>
      <w:r w:rsidR="004660E1" w:rsidRPr="00580CB1">
        <w:rPr>
          <w:rFonts w:ascii="Arial" w:hAnsi="Arial" w:cs="Arial"/>
        </w:rPr>
        <w:t xml:space="preserve">, some reservations </w:t>
      </w:r>
      <w:r w:rsidR="00580CB1">
        <w:rPr>
          <w:rFonts w:ascii="Arial" w:hAnsi="Arial" w:cs="Arial"/>
        </w:rPr>
        <w:t xml:space="preserve">were </w:t>
      </w:r>
      <w:r w:rsidR="004660E1" w:rsidRPr="00580CB1">
        <w:rPr>
          <w:rFonts w:ascii="Arial" w:hAnsi="Arial" w:cs="Arial"/>
        </w:rPr>
        <w:t xml:space="preserve">expressed regarding the quality of its </w:t>
      </w:r>
      <w:r w:rsidR="00580CB1">
        <w:rPr>
          <w:rFonts w:ascii="Arial" w:hAnsi="Arial" w:cs="Arial"/>
        </w:rPr>
        <w:t xml:space="preserve">UPR </w:t>
      </w:r>
      <w:r w:rsidR="004660E1" w:rsidRPr="00580CB1">
        <w:rPr>
          <w:rFonts w:ascii="Arial" w:hAnsi="Arial" w:cs="Arial"/>
        </w:rPr>
        <w:t>products</w:t>
      </w:r>
      <w:r w:rsidR="00B9372B" w:rsidRPr="00580CB1">
        <w:rPr>
          <w:rFonts w:ascii="Arial" w:hAnsi="Arial" w:cs="Arial"/>
        </w:rPr>
        <w:t>.</w:t>
      </w:r>
      <w:r w:rsidR="00334095" w:rsidRPr="00580CB1">
        <w:rPr>
          <w:rFonts w:ascii="Arial" w:hAnsi="Arial" w:cs="Arial"/>
        </w:rPr>
        <w:t xml:space="preserve"> </w:t>
      </w:r>
      <w:r>
        <w:rPr>
          <w:rFonts w:ascii="Arial" w:hAnsi="Arial" w:cs="Arial"/>
        </w:rPr>
        <w:t xml:space="preserve">Despite </w:t>
      </w:r>
      <w:r w:rsidR="004660E1" w:rsidRPr="00580CB1">
        <w:rPr>
          <w:rFonts w:ascii="Arial" w:hAnsi="Arial" w:cs="Arial"/>
        </w:rPr>
        <w:t xml:space="preserve">a </w:t>
      </w:r>
      <w:r>
        <w:rPr>
          <w:rFonts w:ascii="Arial" w:hAnsi="Arial" w:cs="Arial"/>
        </w:rPr>
        <w:t xml:space="preserve">seemingly </w:t>
      </w:r>
      <w:r w:rsidR="004660E1" w:rsidRPr="00580CB1">
        <w:rPr>
          <w:rFonts w:ascii="Arial" w:hAnsi="Arial" w:cs="Arial"/>
        </w:rPr>
        <w:t xml:space="preserve">general perception of </w:t>
      </w:r>
      <w:r w:rsidRPr="00580CB1">
        <w:rPr>
          <w:rFonts w:ascii="Arial" w:hAnsi="Arial" w:cs="Arial"/>
        </w:rPr>
        <w:t>KZN Resins</w:t>
      </w:r>
      <w:r w:rsidR="004660E1" w:rsidRPr="00580CB1">
        <w:rPr>
          <w:rFonts w:ascii="Arial" w:hAnsi="Arial" w:cs="Arial"/>
        </w:rPr>
        <w:t xml:space="preserve"> possibly being a lower quality producer lacking the same capabilities as the other market participants</w:t>
      </w:r>
      <w:r w:rsidR="00315CF8" w:rsidRPr="00580CB1">
        <w:rPr>
          <w:rFonts w:ascii="Arial" w:hAnsi="Arial" w:cs="Arial"/>
        </w:rPr>
        <w:t>,</w:t>
      </w:r>
      <w:r w:rsidR="009E3D48">
        <w:rPr>
          <w:rStyle w:val="FootnoteReference"/>
          <w:rFonts w:ascii="Arial" w:hAnsi="Arial" w:cs="Arial"/>
        </w:rPr>
        <w:footnoteReference w:id="181"/>
      </w:r>
      <w:r w:rsidR="004660E1" w:rsidRPr="00580CB1">
        <w:rPr>
          <w:rFonts w:ascii="Arial" w:hAnsi="Arial" w:cs="Arial"/>
        </w:rPr>
        <w:t xml:space="preserve"> we have found no actual substantive evidence </w:t>
      </w:r>
      <w:r w:rsidR="00861430" w:rsidRPr="00580CB1">
        <w:rPr>
          <w:rFonts w:ascii="Arial" w:hAnsi="Arial" w:cs="Arial"/>
        </w:rPr>
        <w:t>to</w:t>
      </w:r>
      <w:r w:rsidR="004660E1" w:rsidRPr="00580CB1">
        <w:rPr>
          <w:rFonts w:ascii="Arial" w:hAnsi="Arial" w:cs="Arial"/>
        </w:rPr>
        <w:t xml:space="preserve"> support this.</w:t>
      </w:r>
      <w:r w:rsidR="009E3D48">
        <w:rPr>
          <w:rStyle w:val="FootnoteReference"/>
          <w:rFonts w:ascii="Arial" w:hAnsi="Arial" w:cs="Arial"/>
        </w:rPr>
        <w:footnoteReference w:id="182"/>
      </w:r>
      <w:r w:rsidR="004660E1" w:rsidRPr="00580CB1">
        <w:rPr>
          <w:rFonts w:ascii="Arial" w:hAnsi="Arial" w:cs="Arial"/>
        </w:rPr>
        <w:t xml:space="preserve"> </w:t>
      </w:r>
      <w:r w:rsidR="00272231" w:rsidRPr="00580CB1">
        <w:rPr>
          <w:rFonts w:ascii="Arial" w:hAnsi="Arial" w:cs="Arial"/>
        </w:rPr>
        <w:t>Beal’s testimony</w:t>
      </w:r>
      <w:r w:rsidR="009E3D48" w:rsidRPr="00580CB1">
        <w:rPr>
          <w:rFonts w:ascii="Arial" w:hAnsi="Arial" w:cs="Arial"/>
        </w:rPr>
        <w:t>,</w:t>
      </w:r>
      <w:r w:rsidR="00272231" w:rsidRPr="00580CB1">
        <w:rPr>
          <w:rFonts w:ascii="Arial" w:hAnsi="Arial" w:cs="Arial"/>
        </w:rPr>
        <w:t xml:space="preserve"> </w:t>
      </w:r>
      <w:r w:rsidR="009E3D48" w:rsidRPr="00580CB1">
        <w:rPr>
          <w:rFonts w:ascii="Arial" w:hAnsi="Arial" w:cs="Arial"/>
        </w:rPr>
        <w:t xml:space="preserve">for example, </w:t>
      </w:r>
      <w:r w:rsidR="00272231" w:rsidRPr="00580CB1">
        <w:rPr>
          <w:rFonts w:ascii="Arial" w:hAnsi="Arial" w:cs="Arial"/>
        </w:rPr>
        <w:t>was that “</w:t>
      </w:r>
      <w:r w:rsidR="00272231" w:rsidRPr="00580CB1">
        <w:rPr>
          <w:rFonts w:ascii="Arial" w:hAnsi="Arial" w:cs="Arial"/>
          <w:i/>
        </w:rPr>
        <w:t>Arkema is more consistent in quality, high quality</w:t>
      </w:r>
      <w:r w:rsidR="00272231" w:rsidRPr="00580CB1">
        <w:rPr>
          <w:rFonts w:ascii="Arial" w:hAnsi="Arial" w:cs="Arial"/>
        </w:rPr>
        <w:t>” and said that “</w:t>
      </w:r>
      <w:r w:rsidR="00272231" w:rsidRPr="00580CB1">
        <w:rPr>
          <w:rFonts w:ascii="Arial" w:hAnsi="Arial" w:cs="Arial"/>
          <w:i/>
        </w:rPr>
        <w:t xml:space="preserve">the main thing is the market </w:t>
      </w:r>
      <w:proofErr w:type="gramStart"/>
      <w:r w:rsidR="00272231" w:rsidRPr="00580CB1">
        <w:rPr>
          <w:rFonts w:ascii="Arial" w:hAnsi="Arial" w:cs="Arial"/>
          <w:i/>
        </w:rPr>
        <w:t>perception,</w:t>
      </w:r>
      <w:proofErr w:type="gramEnd"/>
      <w:r w:rsidR="00272231" w:rsidRPr="00580CB1">
        <w:rPr>
          <w:rFonts w:ascii="Arial" w:hAnsi="Arial" w:cs="Arial"/>
          <w:i/>
        </w:rPr>
        <w:t xml:space="preserve"> the market perceives KZN as inferior quality. If it’s in other packaging, they see </w:t>
      </w:r>
      <w:proofErr w:type="gramStart"/>
      <w:r w:rsidR="00272231" w:rsidRPr="00580CB1">
        <w:rPr>
          <w:rFonts w:ascii="Arial" w:hAnsi="Arial" w:cs="Arial"/>
          <w:i/>
        </w:rPr>
        <w:t>it’s</w:t>
      </w:r>
      <w:proofErr w:type="gramEnd"/>
      <w:r w:rsidR="00272231" w:rsidRPr="00580CB1">
        <w:rPr>
          <w:rFonts w:ascii="Arial" w:hAnsi="Arial" w:cs="Arial"/>
          <w:i/>
        </w:rPr>
        <w:t xml:space="preserve"> okay</w:t>
      </w:r>
      <w:r w:rsidR="00272231" w:rsidRPr="00580CB1">
        <w:rPr>
          <w:rFonts w:ascii="Arial" w:hAnsi="Arial" w:cs="Arial"/>
        </w:rPr>
        <w:t>”.</w:t>
      </w:r>
      <w:r w:rsidR="00272231">
        <w:rPr>
          <w:rStyle w:val="FootnoteReference"/>
          <w:rFonts w:ascii="Arial" w:hAnsi="Arial" w:cs="Arial"/>
        </w:rPr>
        <w:footnoteReference w:id="183"/>
      </w:r>
      <w:r w:rsidR="00272231" w:rsidRPr="00580CB1">
        <w:rPr>
          <w:rFonts w:ascii="Arial" w:hAnsi="Arial" w:cs="Arial"/>
        </w:rPr>
        <w:t xml:space="preserve"> Beal stated “</w:t>
      </w:r>
      <w:r w:rsidR="00272231" w:rsidRPr="00580CB1">
        <w:rPr>
          <w:rFonts w:ascii="Arial" w:hAnsi="Arial" w:cs="Arial"/>
          <w:i/>
        </w:rPr>
        <w:t xml:space="preserve">There are some that would not buy KZN Resins, which they see as inferior and they … </w:t>
      </w:r>
      <w:r w:rsidR="00203FE7">
        <w:rPr>
          <w:rFonts w:ascii="Arial" w:hAnsi="Arial" w:cs="Arial"/>
        </w:rPr>
        <w:t>[...]</w:t>
      </w:r>
      <w:r w:rsidR="00272231" w:rsidRPr="00580CB1">
        <w:rPr>
          <w:rFonts w:ascii="Arial" w:hAnsi="Arial" w:cs="Arial"/>
        </w:rPr>
        <w:t>.”</w:t>
      </w:r>
      <w:r w:rsidR="00272231">
        <w:rPr>
          <w:rStyle w:val="FootnoteReference"/>
          <w:rFonts w:ascii="Arial" w:hAnsi="Arial" w:cs="Arial"/>
        </w:rPr>
        <w:footnoteReference w:id="184"/>
      </w:r>
      <w:r w:rsidR="00272231" w:rsidRPr="00580CB1">
        <w:rPr>
          <w:rFonts w:ascii="Arial" w:hAnsi="Arial" w:cs="Arial"/>
        </w:rPr>
        <w:t xml:space="preserve"> With regards to repackaged resin, Du Plessis could not dispute that he might be receiving KZN Resins’ product (Autho GP Resin) </w:t>
      </w:r>
      <w:r w:rsidR="00203FE7">
        <w:rPr>
          <w:rFonts w:ascii="Arial" w:hAnsi="Arial" w:cs="Arial"/>
        </w:rPr>
        <w:t>[...]</w:t>
      </w:r>
      <w:r w:rsidR="00272231" w:rsidRPr="00580CB1">
        <w:rPr>
          <w:rFonts w:ascii="Arial" w:hAnsi="Arial" w:cs="Arial"/>
        </w:rPr>
        <w:t xml:space="preserve"> and indicated that he was satisfied with the tests of that product.</w:t>
      </w:r>
      <w:r w:rsidR="00272231">
        <w:rPr>
          <w:rStyle w:val="FootnoteReference"/>
          <w:rFonts w:ascii="Arial" w:hAnsi="Arial" w:cs="Arial"/>
        </w:rPr>
        <w:footnoteReference w:id="185"/>
      </w:r>
      <w:r w:rsidR="009E3D48" w:rsidRPr="00580CB1">
        <w:rPr>
          <w:rFonts w:ascii="Arial" w:hAnsi="Arial" w:cs="Arial"/>
        </w:rPr>
        <w:t xml:space="preserve"> </w:t>
      </w:r>
      <w:r w:rsidR="00B43439" w:rsidRPr="00580CB1">
        <w:rPr>
          <w:rFonts w:ascii="Arial" w:hAnsi="Arial" w:cs="Arial"/>
        </w:rPr>
        <w:t xml:space="preserve">Coady testified that he </w:t>
      </w:r>
      <w:r>
        <w:rPr>
          <w:rFonts w:ascii="Arial" w:hAnsi="Arial" w:cs="Arial"/>
        </w:rPr>
        <w:t>“</w:t>
      </w:r>
      <w:r w:rsidR="00B43439" w:rsidRPr="00580CB1">
        <w:rPr>
          <w:rFonts w:ascii="Arial" w:hAnsi="Arial" w:cs="Arial"/>
          <w:i/>
        </w:rPr>
        <w:t>perceived</w:t>
      </w:r>
      <w:r>
        <w:rPr>
          <w:rFonts w:ascii="Arial" w:hAnsi="Arial" w:cs="Arial"/>
          <w:i/>
        </w:rPr>
        <w:t>”</w:t>
      </w:r>
      <w:r w:rsidR="00B43439" w:rsidRPr="00580CB1">
        <w:rPr>
          <w:rFonts w:ascii="Arial" w:hAnsi="Arial" w:cs="Arial"/>
        </w:rPr>
        <w:t>” KZN Resins as being of low quality</w:t>
      </w:r>
      <w:r w:rsidR="00580CB1">
        <w:rPr>
          <w:rFonts w:ascii="Arial" w:hAnsi="Arial" w:cs="Arial"/>
        </w:rPr>
        <w:t xml:space="preserve">, but </w:t>
      </w:r>
      <w:r w:rsidR="00B43439" w:rsidRPr="00580CB1">
        <w:rPr>
          <w:rFonts w:ascii="Arial" w:hAnsi="Arial" w:cs="Arial"/>
        </w:rPr>
        <w:t>also indicated that there is at least one specification in respect of which KZN Resins was the first (and so far</w:t>
      </w:r>
      <w:r w:rsidR="00761DF5">
        <w:rPr>
          <w:rFonts w:ascii="Arial" w:hAnsi="Arial" w:cs="Arial"/>
        </w:rPr>
        <w:t xml:space="preserve"> the</w:t>
      </w:r>
      <w:r w:rsidR="00B43439" w:rsidRPr="00580CB1">
        <w:rPr>
          <w:rFonts w:ascii="Arial" w:hAnsi="Arial" w:cs="Arial"/>
        </w:rPr>
        <w:t xml:space="preserve"> only) resin supplier to successfully develop the required specification. </w:t>
      </w:r>
      <w:r w:rsidR="00DC7788">
        <w:rPr>
          <w:rFonts w:ascii="Arial" w:hAnsi="Arial" w:cs="Arial"/>
        </w:rPr>
        <w:t>I</w:t>
      </w:r>
      <w:r w:rsidR="00A966EC">
        <w:rPr>
          <w:rFonts w:ascii="Arial" w:hAnsi="Arial" w:cs="Arial"/>
        </w:rPr>
        <w:t>n</w:t>
      </w:r>
      <w:r w:rsidR="00DC7788">
        <w:rPr>
          <w:rFonts w:ascii="Arial" w:hAnsi="Arial" w:cs="Arial"/>
        </w:rPr>
        <w:t xml:space="preserve"> that instance </w:t>
      </w:r>
      <w:r w:rsidR="00B43439" w:rsidRPr="00580CB1">
        <w:rPr>
          <w:rFonts w:ascii="Arial" w:hAnsi="Arial" w:cs="Arial"/>
        </w:rPr>
        <w:t xml:space="preserve">KZN </w:t>
      </w:r>
      <w:r w:rsidR="00B43439" w:rsidRPr="00580CB1">
        <w:rPr>
          <w:rFonts w:ascii="Arial" w:hAnsi="Arial" w:cs="Arial"/>
        </w:rPr>
        <w:lastRenderedPageBreak/>
        <w:t xml:space="preserve">Resins was able to come up with a solution to a problem experienced with the Arkema </w:t>
      </w:r>
      <w:r w:rsidR="00CD3456">
        <w:rPr>
          <w:rFonts w:ascii="Arial" w:hAnsi="Arial" w:cs="Arial"/>
        </w:rPr>
        <w:t xml:space="preserve">SA </w:t>
      </w:r>
      <w:r w:rsidR="00B43439" w:rsidRPr="00580CB1">
        <w:rPr>
          <w:rFonts w:ascii="Arial" w:hAnsi="Arial" w:cs="Arial"/>
        </w:rPr>
        <w:t>product and</w:t>
      </w:r>
      <w:r w:rsidR="00312E28">
        <w:rPr>
          <w:rFonts w:ascii="Arial" w:hAnsi="Arial" w:cs="Arial"/>
        </w:rPr>
        <w:t xml:space="preserve"> to date, neither</w:t>
      </w:r>
      <w:r w:rsidR="00B43439" w:rsidRPr="00580CB1">
        <w:rPr>
          <w:rFonts w:ascii="Arial" w:hAnsi="Arial" w:cs="Arial"/>
        </w:rPr>
        <w:t xml:space="preserve"> NCS </w:t>
      </w:r>
      <w:r w:rsidR="00312E28">
        <w:rPr>
          <w:rFonts w:ascii="Arial" w:hAnsi="Arial" w:cs="Arial"/>
        </w:rPr>
        <w:t>nor</w:t>
      </w:r>
      <w:r w:rsidR="00B43439" w:rsidRPr="00580CB1">
        <w:rPr>
          <w:rFonts w:ascii="Arial" w:hAnsi="Arial" w:cs="Arial"/>
        </w:rPr>
        <w:t xml:space="preserve"> Arkema </w:t>
      </w:r>
      <w:r w:rsidR="00CD3456">
        <w:rPr>
          <w:rFonts w:ascii="Arial" w:hAnsi="Arial" w:cs="Arial"/>
        </w:rPr>
        <w:t xml:space="preserve">SA </w:t>
      </w:r>
      <w:r w:rsidR="00B43439" w:rsidRPr="00580CB1">
        <w:rPr>
          <w:rFonts w:ascii="Arial" w:hAnsi="Arial" w:cs="Arial"/>
        </w:rPr>
        <w:t>ha</w:t>
      </w:r>
      <w:r w:rsidR="00D17D7B">
        <w:rPr>
          <w:rFonts w:ascii="Arial" w:hAnsi="Arial" w:cs="Arial"/>
        </w:rPr>
        <w:t>ve</w:t>
      </w:r>
      <w:r w:rsidR="00B43439" w:rsidRPr="00580CB1">
        <w:rPr>
          <w:rFonts w:ascii="Arial" w:hAnsi="Arial" w:cs="Arial"/>
        </w:rPr>
        <w:t xml:space="preserve"> been </w:t>
      </w:r>
      <w:r w:rsidR="00312E28">
        <w:rPr>
          <w:rFonts w:ascii="Arial" w:hAnsi="Arial" w:cs="Arial"/>
        </w:rPr>
        <w:t>able</w:t>
      </w:r>
      <w:r w:rsidR="00B43439" w:rsidRPr="00580CB1">
        <w:rPr>
          <w:rFonts w:ascii="Arial" w:hAnsi="Arial" w:cs="Arial"/>
        </w:rPr>
        <w:t xml:space="preserve"> to match this.</w:t>
      </w:r>
      <w:r w:rsidR="00B43439">
        <w:rPr>
          <w:rStyle w:val="FootnoteReference"/>
          <w:rFonts w:ascii="Arial" w:hAnsi="Arial" w:cs="Arial"/>
        </w:rPr>
        <w:footnoteReference w:id="186"/>
      </w:r>
      <w:r w:rsidR="00B43439" w:rsidRPr="00580CB1">
        <w:rPr>
          <w:rFonts w:ascii="Arial" w:hAnsi="Arial" w:cs="Arial"/>
        </w:rPr>
        <w:t xml:space="preserve"> </w:t>
      </w:r>
      <w:r w:rsidR="009E3D48" w:rsidRPr="00580CB1">
        <w:rPr>
          <w:rFonts w:ascii="Arial" w:hAnsi="Arial" w:cs="Arial"/>
        </w:rPr>
        <w:t xml:space="preserve">We </w:t>
      </w:r>
      <w:r w:rsidR="00580CB1">
        <w:rPr>
          <w:rFonts w:ascii="Arial" w:hAnsi="Arial" w:cs="Arial"/>
        </w:rPr>
        <w:t xml:space="preserve">further </w:t>
      </w:r>
      <w:r w:rsidR="009E3D48" w:rsidRPr="00580CB1">
        <w:rPr>
          <w:rFonts w:ascii="Arial" w:hAnsi="Arial" w:cs="Arial"/>
        </w:rPr>
        <w:t>note that Moosa disputed any allegation that KZN Resins produces poor quality products.</w:t>
      </w:r>
    </w:p>
    <w:p w:rsidR="005A34BA" w:rsidRDefault="00E24A30" w:rsidP="0080582B">
      <w:pPr>
        <w:pStyle w:val="ListParagraph"/>
        <w:numPr>
          <w:ilvl w:val="0"/>
          <w:numId w:val="2"/>
        </w:numPr>
        <w:spacing w:after="240" w:line="360" w:lineRule="auto"/>
        <w:ind w:left="0" w:firstLine="0"/>
        <w:jc w:val="both"/>
        <w:rPr>
          <w:rFonts w:ascii="Arial" w:hAnsi="Arial" w:cs="Arial"/>
        </w:rPr>
      </w:pPr>
      <w:r>
        <w:rPr>
          <w:rFonts w:ascii="Arial" w:hAnsi="Arial" w:cs="Arial"/>
        </w:rPr>
        <w:t xml:space="preserve">With regards to its current capacity utilisation, </w:t>
      </w:r>
      <w:r w:rsidR="00F9521F" w:rsidRPr="00F9521F">
        <w:rPr>
          <w:rFonts w:ascii="Arial" w:hAnsi="Arial" w:cs="Arial"/>
        </w:rPr>
        <w:t xml:space="preserve">KZN Resins </w:t>
      </w:r>
      <w:r w:rsidR="00F9521F">
        <w:rPr>
          <w:rFonts w:ascii="Arial" w:hAnsi="Arial" w:cs="Arial"/>
        </w:rPr>
        <w:t xml:space="preserve">indicated that it </w:t>
      </w:r>
      <w:r w:rsidR="006E6521">
        <w:rPr>
          <w:rFonts w:ascii="Arial" w:hAnsi="Arial" w:cs="Arial"/>
        </w:rPr>
        <w:t xml:space="preserve">currently </w:t>
      </w:r>
      <w:r w:rsidR="00F9521F">
        <w:rPr>
          <w:rFonts w:ascii="Arial" w:hAnsi="Arial" w:cs="Arial"/>
        </w:rPr>
        <w:t>has limited</w:t>
      </w:r>
      <w:r w:rsidR="00F9521F" w:rsidRPr="00F9521F">
        <w:rPr>
          <w:rFonts w:ascii="Arial" w:hAnsi="Arial" w:cs="Arial"/>
        </w:rPr>
        <w:t xml:space="preserve"> excess capacity</w:t>
      </w:r>
      <w:r w:rsidR="00F9521F">
        <w:rPr>
          <w:rFonts w:ascii="Arial" w:hAnsi="Arial" w:cs="Arial"/>
        </w:rPr>
        <w:t xml:space="preserve"> </w:t>
      </w:r>
      <w:r w:rsidR="00DC7788">
        <w:rPr>
          <w:rFonts w:ascii="Arial" w:hAnsi="Arial" w:cs="Arial"/>
        </w:rPr>
        <w:t xml:space="preserve">in the order </w:t>
      </w:r>
      <w:r w:rsidR="00F9521F">
        <w:rPr>
          <w:rFonts w:ascii="Arial" w:hAnsi="Arial" w:cs="Arial"/>
        </w:rPr>
        <w:t>of approximately [...</w:t>
      </w:r>
      <w:proofErr w:type="gramStart"/>
      <w:r w:rsidR="00F9521F">
        <w:rPr>
          <w:rFonts w:ascii="Arial" w:hAnsi="Arial" w:cs="Arial"/>
        </w:rPr>
        <w:t>]%</w:t>
      </w:r>
      <w:proofErr w:type="gramEnd"/>
      <w:r w:rsidR="00F9521F">
        <w:rPr>
          <w:rFonts w:ascii="Arial" w:hAnsi="Arial" w:cs="Arial"/>
        </w:rPr>
        <w:t>.</w:t>
      </w:r>
      <w:r w:rsidR="00F9521F">
        <w:rPr>
          <w:rStyle w:val="FootnoteReference"/>
          <w:rFonts w:ascii="Arial" w:hAnsi="Arial" w:cs="Arial"/>
        </w:rPr>
        <w:footnoteReference w:id="187"/>
      </w:r>
      <w:r w:rsidR="00F9521F">
        <w:rPr>
          <w:rFonts w:ascii="Arial" w:hAnsi="Arial" w:cs="Arial"/>
        </w:rPr>
        <w:t xml:space="preserve"> Moosa </w:t>
      </w:r>
      <w:r>
        <w:rPr>
          <w:rFonts w:ascii="Arial" w:hAnsi="Arial" w:cs="Arial"/>
        </w:rPr>
        <w:t xml:space="preserve">however </w:t>
      </w:r>
      <w:r w:rsidR="0081073B">
        <w:rPr>
          <w:rFonts w:ascii="Arial" w:hAnsi="Arial" w:cs="Arial"/>
        </w:rPr>
        <w:t xml:space="preserve">also </w:t>
      </w:r>
      <w:r w:rsidR="00F9521F">
        <w:rPr>
          <w:rFonts w:ascii="Arial" w:hAnsi="Arial" w:cs="Arial"/>
        </w:rPr>
        <w:t xml:space="preserve">indicated that </w:t>
      </w:r>
      <w:r>
        <w:rPr>
          <w:rFonts w:ascii="Arial" w:hAnsi="Arial" w:cs="Arial"/>
        </w:rPr>
        <w:t xml:space="preserve">current production </w:t>
      </w:r>
      <w:r w:rsidR="00F9521F" w:rsidRPr="00F9521F">
        <w:rPr>
          <w:rFonts w:ascii="Arial" w:hAnsi="Arial" w:cs="Arial"/>
        </w:rPr>
        <w:t xml:space="preserve">could be expanded by </w:t>
      </w:r>
      <w:r w:rsidR="00203FE7">
        <w:rPr>
          <w:rFonts w:ascii="Arial" w:hAnsi="Arial" w:cs="Arial"/>
        </w:rPr>
        <w:t>[...]</w:t>
      </w:r>
      <w:r w:rsidR="00F9521F">
        <w:rPr>
          <w:rFonts w:ascii="Arial" w:hAnsi="Arial" w:cs="Arial"/>
        </w:rPr>
        <w:t>.</w:t>
      </w:r>
      <w:r w:rsidR="00F9521F">
        <w:rPr>
          <w:rStyle w:val="FootnoteReference"/>
          <w:rFonts w:ascii="Arial" w:hAnsi="Arial" w:cs="Arial"/>
        </w:rPr>
        <w:footnoteReference w:id="188"/>
      </w:r>
      <w:r w:rsidR="00F9521F" w:rsidRPr="00F9521F">
        <w:rPr>
          <w:rFonts w:ascii="Arial" w:hAnsi="Arial" w:cs="Arial"/>
        </w:rPr>
        <w:t xml:space="preserve"> </w:t>
      </w:r>
    </w:p>
    <w:p w:rsidR="00DD1461" w:rsidRPr="00C70A6E" w:rsidRDefault="00185F5C" w:rsidP="0080582B">
      <w:pPr>
        <w:pStyle w:val="ListParagraph"/>
        <w:numPr>
          <w:ilvl w:val="0"/>
          <w:numId w:val="2"/>
        </w:numPr>
        <w:spacing w:after="240" w:line="360" w:lineRule="auto"/>
        <w:ind w:left="0" w:firstLine="0"/>
        <w:jc w:val="both"/>
        <w:rPr>
          <w:rFonts w:ascii="Arial" w:hAnsi="Arial" w:cs="Arial"/>
        </w:rPr>
      </w:pPr>
      <w:r w:rsidRPr="00C70A6E">
        <w:rPr>
          <w:rFonts w:ascii="Arial" w:hAnsi="Arial" w:cs="Arial"/>
        </w:rPr>
        <w:t xml:space="preserve">The Commission </w:t>
      </w:r>
      <w:r w:rsidR="00B43439">
        <w:rPr>
          <w:rFonts w:ascii="Arial" w:hAnsi="Arial" w:cs="Arial"/>
        </w:rPr>
        <w:t xml:space="preserve">further </w:t>
      </w:r>
      <w:r w:rsidR="009A4121" w:rsidRPr="00C70A6E">
        <w:rPr>
          <w:rFonts w:ascii="Arial" w:hAnsi="Arial" w:cs="Arial"/>
        </w:rPr>
        <w:t xml:space="preserve">argued </w:t>
      </w:r>
      <w:r w:rsidRPr="00C70A6E">
        <w:rPr>
          <w:rFonts w:ascii="Arial" w:hAnsi="Arial" w:cs="Arial"/>
        </w:rPr>
        <w:t xml:space="preserve">that Scott Bader is a </w:t>
      </w:r>
      <w:r w:rsidR="00D17D7B">
        <w:rPr>
          <w:rFonts w:ascii="Arial" w:hAnsi="Arial" w:cs="Arial"/>
        </w:rPr>
        <w:t>“</w:t>
      </w:r>
      <w:r w:rsidRPr="00C70A6E">
        <w:rPr>
          <w:rFonts w:ascii="Arial" w:hAnsi="Arial" w:cs="Arial"/>
        </w:rPr>
        <w:t>high</w:t>
      </w:r>
      <w:r w:rsidR="00D17D7B">
        <w:rPr>
          <w:rFonts w:ascii="Arial" w:hAnsi="Arial" w:cs="Arial"/>
        </w:rPr>
        <w:t>-</w:t>
      </w:r>
      <w:r w:rsidRPr="00C70A6E">
        <w:rPr>
          <w:rFonts w:ascii="Arial" w:hAnsi="Arial" w:cs="Arial"/>
        </w:rPr>
        <w:t>priced</w:t>
      </w:r>
      <w:r w:rsidR="00D17D7B">
        <w:rPr>
          <w:rFonts w:ascii="Arial" w:hAnsi="Arial" w:cs="Arial"/>
        </w:rPr>
        <w:t>”</w:t>
      </w:r>
      <w:r w:rsidRPr="00C70A6E">
        <w:rPr>
          <w:rFonts w:ascii="Arial" w:hAnsi="Arial" w:cs="Arial"/>
        </w:rPr>
        <w:t xml:space="preserve"> competitor</w:t>
      </w:r>
      <w:r w:rsidR="00C70A6E" w:rsidRPr="00C70A6E">
        <w:rPr>
          <w:rFonts w:ascii="Arial" w:hAnsi="Arial" w:cs="Arial"/>
        </w:rPr>
        <w:t xml:space="preserve"> and therefore not an effective competitor</w:t>
      </w:r>
      <w:r w:rsidRPr="00C70A6E">
        <w:rPr>
          <w:rFonts w:ascii="Arial" w:hAnsi="Arial" w:cs="Arial"/>
        </w:rPr>
        <w:t xml:space="preserve">. </w:t>
      </w:r>
      <w:r w:rsidR="009A4121" w:rsidRPr="00C70A6E">
        <w:rPr>
          <w:rFonts w:ascii="Arial" w:hAnsi="Arial" w:cs="Arial"/>
        </w:rPr>
        <w:t>Although Beal suggested that Scott Bader “</w:t>
      </w:r>
      <w:r w:rsidR="00E10564" w:rsidRPr="00E10564">
        <w:rPr>
          <w:rFonts w:ascii="Arial" w:hAnsi="Arial" w:cs="Arial"/>
          <w:i/>
        </w:rPr>
        <w:t>have</w:t>
      </w:r>
      <w:r w:rsidR="00E10564">
        <w:rPr>
          <w:rFonts w:ascii="Arial" w:hAnsi="Arial" w:cs="Arial"/>
        </w:rPr>
        <w:t xml:space="preserve"> </w:t>
      </w:r>
      <w:r w:rsidR="009A4121" w:rsidRPr="00E10564">
        <w:rPr>
          <w:rFonts w:ascii="Arial" w:hAnsi="Arial" w:cs="Arial"/>
          <w:i/>
        </w:rPr>
        <w:t>tended</w:t>
      </w:r>
      <w:r w:rsidR="009A4121" w:rsidRPr="00C70A6E">
        <w:rPr>
          <w:rFonts w:ascii="Arial" w:hAnsi="Arial" w:cs="Arial"/>
        </w:rPr>
        <w:t xml:space="preserve">” </w:t>
      </w:r>
      <w:r w:rsidR="00E10564">
        <w:rPr>
          <w:rFonts w:ascii="Arial" w:hAnsi="Arial" w:cs="Arial"/>
        </w:rPr>
        <w:t xml:space="preserve">in his experience </w:t>
      </w:r>
      <w:r w:rsidR="009A4121" w:rsidRPr="00C70A6E">
        <w:rPr>
          <w:rFonts w:ascii="Arial" w:hAnsi="Arial" w:cs="Arial"/>
        </w:rPr>
        <w:t>to be more expensive than the other producers,</w:t>
      </w:r>
      <w:r w:rsidR="009A4121">
        <w:rPr>
          <w:rStyle w:val="FootnoteReference"/>
          <w:rFonts w:ascii="Arial" w:hAnsi="Arial" w:cs="Arial"/>
        </w:rPr>
        <w:footnoteReference w:id="189"/>
      </w:r>
      <w:r w:rsidR="009A4121" w:rsidRPr="00C70A6E">
        <w:rPr>
          <w:rFonts w:ascii="Arial" w:hAnsi="Arial" w:cs="Arial"/>
        </w:rPr>
        <w:t xml:space="preserve"> </w:t>
      </w:r>
      <w:r w:rsidR="000D5DAF" w:rsidRPr="00C70A6E">
        <w:rPr>
          <w:rFonts w:ascii="Arial" w:hAnsi="Arial" w:cs="Arial"/>
        </w:rPr>
        <w:t xml:space="preserve">this view was not shared by other witnesses. </w:t>
      </w:r>
      <w:r w:rsidR="0042567D" w:rsidRPr="00C70A6E">
        <w:rPr>
          <w:rFonts w:ascii="Arial" w:hAnsi="Arial" w:cs="Arial"/>
        </w:rPr>
        <w:t>Du Plessis</w:t>
      </w:r>
      <w:r w:rsidR="003505CE">
        <w:rPr>
          <w:rFonts w:ascii="Arial" w:hAnsi="Arial" w:cs="Arial"/>
        </w:rPr>
        <w:t>,</w:t>
      </w:r>
      <w:r w:rsidR="0042567D" w:rsidRPr="00C70A6E">
        <w:rPr>
          <w:rFonts w:ascii="Arial" w:hAnsi="Arial" w:cs="Arial"/>
        </w:rPr>
        <w:t xml:space="preserve"> for example</w:t>
      </w:r>
      <w:r w:rsidR="003505CE">
        <w:rPr>
          <w:rFonts w:ascii="Arial" w:hAnsi="Arial" w:cs="Arial"/>
        </w:rPr>
        <w:t>,</w:t>
      </w:r>
      <w:r w:rsidR="0042567D" w:rsidRPr="00C70A6E">
        <w:rPr>
          <w:rFonts w:ascii="Arial" w:hAnsi="Arial" w:cs="Arial"/>
        </w:rPr>
        <w:t xml:space="preserve"> conceded that, certainly in respect of certain product applications, Scott Bader </w:t>
      </w:r>
      <w:r w:rsidR="00B44DBE">
        <w:rPr>
          <w:rFonts w:ascii="Arial" w:hAnsi="Arial" w:cs="Arial"/>
        </w:rPr>
        <w:t xml:space="preserve">provided a better price </w:t>
      </w:r>
      <w:r w:rsidR="0042567D" w:rsidRPr="00C70A6E">
        <w:rPr>
          <w:rFonts w:ascii="Arial" w:hAnsi="Arial" w:cs="Arial"/>
        </w:rPr>
        <w:t>than NCS.</w:t>
      </w:r>
      <w:r w:rsidR="0042567D">
        <w:rPr>
          <w:rStyle w:val="FootnoteReference"/>
          <w:rFonts w:ascii="Arial" w:hAnsi="Arial" w:cs="Arial"/>
        </w:rPr>
        <w:footnoteReference w:id="190"/>
      </w:r>
      <w:r w:rsidR="0042567D" w:rsidRPr="00C70A6E">
        <w:rPr>
          <w:rFonts w:ascii="Arial" w:hAnsi="Arial" w:cs="Arial"/>
        </w:rPr>
        <w:t xml:space="preserve"> We shall not deal with all of this evidence in these reasons. Ultimately w</w:t>
      </w:r>
      <w:r w:rsidRPr="00C70A6E">
        <w:rPr>
          <w:rFonts w:ascii="Arial" w:hAnsi="Arial" w:cs="Arial"/>
        </w:rPr>
        <w:t xml:space="preserve">e have </w:t>
      </w:r>
      <w:r w:rsidR="00FB0204" w:rsidRPr="00C70A6E">
        <w:rPr>
          <w:rFonts w:ascii="Arial" w:hAnsi="Arial" w:cs="Arial"/>
        </w:rPr>
        <w:t xml:space="preserve">found no empirical data or </w:t>
      </w:r>
      <w:r w:rsidRPr="00C70A6E">
        <w:rPr>
          <w:rFonts w:ascii="Arial" w:hAnsi="Arial" w:cs="Arial"/>
        </w:rPr>
        <w:t xml:space="preserve">cogent </w:t>
      </w:r>
      <w:r w:rsidR="00FB0204" w:rsidRPr="00C70A6E">
        <w:rPr>
          <w:rFonts w:ascii="Arial" w:hAnsi="Arial" w:cs="Arial"/>
        </w:rPr>
        <w:t xml:space="preserve">factual evidence to support a conclusion that Scott Bader is a higher-priced </w:t>
      </w:r>
      <w:r w:rsidR="00905DCB" w:rsidRPr="00C70A6E">
        <w:rPr>
          <w:rFonts w:ascii="Arial" w:hAnsi="Arial" w:cs="Arial"/>
        </w:rPr>
        <w:t xml:space="preserve">UPR </w:t>
      </w:r>
      <w:r w:rsidR="000D5DAF" w:rsidRPr="00C70A6E">
        <w:rPr>
          <w:rFonts w:ascii="Arial" w:hAnsi="Arial" w:cs="Arial"/>
        </w:rPr>
        <w:t>producer</w:t>
      </w:r>
      <w:r w:rsidR="00FB0204" w:rsidRPr="00C70A6E">
        <w:rPr>
          <w:rFonts w:ascii="Arial" w:hAnsi="Arial" w:cs="Arial"/>
        </w:rPr>
        <w:t xml:space="preserve">. </w:t>
      </w:r>
      <w:r w:rsidR="00DD1461" w:rsidRPr="00C70A6E">
        <w:rPr>
          <w:rFonts w:ascii="Arial" w:hAnsi="Arial" w:cs="Arial"/>
        </w:rPr>
        <w:t xml:space="preserve">We </w:t>
      </w:r>
      <w:r w:rsidR="00B43439">
        <w:rPr>
          <w:rFonts w:ascii="Arial" w:hAnsi="Arial" w:cs="Arial"/>
        </w:rPr>
        <w:t xml:space="preserve">specifically </w:t>
      </w:r>
      <w:r w:rsidR="00DD1461" w:rsidRPr="00C70A6E">
        <w:rPr>
          <w:rFonts w:ascii="Arial" w:hAnsi="Arial" w:cs="Arial"/>
        </w:rPr>
        <w:t xml:space="preserve">have no evidence </w:t>
      </w:r>
      <w:r w:rsidR="00C70A6E">
        <w:rPr>
          <w:rFonts w:ascii="Arial" w:hAnsi="Arial" w:cs="Arial"/>
        </w:rPr>
        <w:t xml:space="preserve">relating to </w:t>
      </w:r>
      <w:r w:rsidR="00DD1461" w:rsidRPr="00C70A6E">
        <w:rPr>
          <w:rFonts w:ascii="Arial" w:hAnsi="Arial" w:cs="Arial"/>
        </w:rPr>
        <w:t>analytical analys</w:t>
      </w:r>
      <w:r w:rsidR="00C70A6E">
        <w:rPr>
          <w:rFonts w:ascii="Arial" w:hAnsi="Arial" w:cs="Arial"/>
        </w:rPr>
        <w:t>e</w:t>
      </w:r>
      <w:r w:rsidR="00DD1461" w:rsidRPr="00C70A6E">
        <w:rPr>
          <w:rFonts w:ascii="Arial" w:hAnsi="Arial" w:cs="Arial"/>
        </w:rPr>
        <w:t xml:space="preserve">s of the relative costs of production of the </w:t>
      </w:r>
      <w:r w:rsidR="003505CE">
        <w:rPr>
          <w:rFonts w:ascii="Arial" w:hAnsi="Arial" w:cs="Arial"/>
        </w:rPr>
        <w:t>four</w:t>
      </w:r>
      <w:r w:rsidR="00DD1461" w:rsidRPr="00C70A6E">
        <w:rPr>
          <w:rFonts w:ascii="Arial" w:hAnsi="Arial" w:cs="Arial"/>
        </w:rPr>
        <w:t xml:space="preserve"> </w:t>
      </w:r>
      <w:r w:rsidR="003505CE">
        <w:rPr>
          <w:rFonts w:ascii="Arial" w:hAnsi="Arial" w:cs="Arial"/>
        </w:rPr>
        <w:t xml:space="preserve">UPR </w:t>
      </w:r>
      <w:r w:rsidR="00DD1461" w:rsidRPr="00C70A6E">
        <w:rPr>
          <w:rFonts w:ascii="Arial" w:hAnsi="Arial" w:cs="Arial"/>
        </w:rPr>
        <w:t>producers</w:t>
      </w:r>
      <w:r w:rsidR="003505CE">
        <w:rPr>
          <w:rFonts w:ascii="Arial" w:hAnsi="Arial" w:cs="Arial"/>
        </w:rPr>
        <w:t xml:space="preserve"> in South Africa</w:t>
      </w:r>
      <w:r w:rsidR="00DD1461" w:rsidRPr="00C70A6E">
        <w:rPr>
          <w:rFonts w:ascii="Arial" w:hAnsi="Arial" w:cs="Arial"/>
        </w:rPr>
        <w:t>.</w:t>
      </w:r>
    </w:p>
    <w:p w:rsidR="005A34BA" w:rsidRPr="00D77BDC" w:rsidRDefault="005A34BA" w:rsidP="005A34BA">
      <w:pPr>
        <w:pStyle w:val="ListParagraph"/>
        <w:spacing w:after="240" w:line="360" w:lineRule="auto"/>
        <w:ind w:left="0"/>
        <w:jc w:val="both"/>
        <w:rPr>
          <w:rFonts w:ascii="Arial" w:hAnsi="Arial" w:cs="Arial"/>
          <w:b/>
          <w:i/>
        </w:rPr>
      </w:pPr>
      <w:r w:rsidRPr="00D77BDC">
        <w:rPr>
          <w:rFonts w:ascii="Arial" w:hAnsi="Arial" w:cs="Arial"/>
          <w:b/>
          <w:i/>
        </w:rPr>
        <w:t>Conclusion</w:t>
      </w:r>
    </w:p>
    <w:p w:rsidR="003505CE" w:rsidRDefault="005A34BA" w:rsidP="00B43439">
      <w:pPr>
        <w:pStyle w:val="ListParagraph"/>
        <w:numPr>
          <w:ilvl w:val="0"/>
          <w:numId w:val="2"/>
        </w:numPr>
        <w:spacing w:after="240" w:line="360" w:lineRule="auto"/>
        <w:ind w:left="0" w:firstLine="0"/>
        <w:jc w:val="both"/>
        <w:rPr>
          <w:rFonts w:ascii="Arial" w:hAnsi="Arial" w:cs="Arial"/>
        </w:rPr>
      </w:pPr>
      <w:r w:rsidRPr="003505CE">
        <w:rPr>
          <w:rFonts w:ascii="Arial" w:hAnsi="Arial" w:cs="Arial"/>
        </w:rPr>
        <w:t xml:space="preserve">In conclusion, it is not the case that every </w:t>
      </w:r>
      <w:r w:rsidR="00063984" w:rsidRPr="003505CE">
        <w:rPr>
          <w:rFonts w:ascii="Arial" w:hAnsi="Arial" w:cs="Arial"/>
        </w:rPr>
        <w:t xml:space="preserve">current market participant </w:t>
      </w:r>
      <w:r w:rsidRPr="003505CE">
        <w:rPr>
          <w:rFonts w:ascii="Arial" w:hAnsi="Arial" w:cs="Arial"/>
        </w:rPr>
        <w:t xml:space="preserve">is equally capable to provide every customer with a homogenous product at an equally competitive price. </w:t>
      </w:r>
      <w:r w:rsidR="00063984" w:rsidRPr="003505CE">
        <w:rPr>
          <w:rFonts w:ascii="Arial" w:hAnsi="Arial" w:cs="Arial"/>
        </w:rPr>
        <w:t xml:space="preserve">The evidence has shown </w:t>
      </w:r>
      <w:r w:rsidR="00B43439" w:rsidRPr="003505CE">
        <w:rPr>
          <w:rFonts w:ascii="Arial" w:hAnsi="Arial" w:cs="Arial"/>
        </w:rPr>
        <w:t xml:space="preserve">Arkema </w:t>
      </w:r>
      <w:r w:rsidR="00CD3456">
        <w:rPr>
          <w:rFonts w:ascii="Arial" w:hAnsi="Arial" w:cs="Arial"/>
        </w:rPr>
        <w:t xml:space="preserve">SA </w:t>
      </w:r>
      <w:r w:rsidR="00063984" w:rsidRPr="003505CE">
        <w:rPr>
          <w:rFonts w:ascii="Arial" w:hAnsi="Arial" w:cs="Arial"/>
        </w:rPr>
        <w:t xml:space="preserve">to be </w:t>
      </w:r>
      <w:r w:rsidR="00B43439" w:rsidRPr="003505CE">
        <w:rPr>
          <w:rFonts w:ascii="Arial" w:hAnsi="Arial" w:cs="Arial"/>
        </w:rPr>
        <w:t>an effective competitor in the national UPR market. In the words of Souchon: “</w:t>
      </w:r>
      <w:r w:rsidR="00B43439" w:rsidRPr="003505CE">
        <w:rPr>
          <w:rFonts w:ascii="Arial" w:hAnsi="Arial" w:cs="Arial"/>
          <w:i/>
        </w:rPr>
        <w:t xml:space="preserve">We’ve been fierce competitors </w:t>
      </w:r>
      <w:r w:rsidR="002863F0" w:rsidRPr="003505CE">
        <w:rPr>
          <w:rFonts w:ascii="Arial" w:hAnsi="Arial" w:cs="Arial"/>
          <w:i/>
        </w:rPr>
        <w:t>.</w:t>
      </w:r>
      <w:r w:rsidR="00B43439" w:rsidRPr="003505CE">
        <w:rPr>
          <w:rFonts w:ascii="Arial" w:hAnsi="Arial" w:cs="Arial"/>
          <w:i/>
        </w:rPr>
        <w:t>...</w:t>
      </w:r>
      <w:r w:rsidR="00B43439" w:rsidRPr="003505CE">
        <w:rPr>
          <w:rFonts w:ascii="Arial" w:hAnsi="Arial" w:cs="Arial"/>
        </w:rPr>
        <w:t>”</w:t>
      </w:r>
      <w:r w:rsidR="00B43439">
        <w:rPr>
          <w:rStyle w:val="FootnoteReference"/>
          <w:rFonts w:ascii="Arial" w:hAnsi="Arial" w:cs="Arial"/>
        </w:rPr>
        <w:footnoteReference w:id="191"/>
      </w:r>
      <w:r w:rsidR="00B43439" w:rsidRPr="003505CE">
        <w:rPr>
          <w:rFonts w:ascii="Arial" w:hAnsi="Arial" w:cs="Arial"/>
        </w:rPr>
        <w:t xml:space="preserve"> </w:t>
      </w:r>
    </w:p>
    <w:p w:rsidR="00B43439" w:rsidRDefault="003505CE" w:rsidP="00B43439">
      <w:pPr>
        <w:pStyle w:val="ListParagraph"/>
        <w:numPr>
          <w:ilvl w:val="0"/>
          <w:numId w:val="2"/>
        </w:numPr>
        <w:spacing w:after="240" w:line="360" w:lineRule="auto"/>
        <w:ind w:left="0" w:firstLine="0"/>
        <w:jc w:val="both"/>
        <w:rPr>
          <w:rFonts w:ascii="Arial" w:hAnsi="Arial" w:cs="Arial"/>
        </w:rPr>
      </w:pPr>
      <w:r>
        <w:rPr>
          <w:rFonts w:ascii="Arial" w:hAnsi="Arial" w:cs="Arial"/>
        </w:rPr>
        <w:t xml:space="preserve">Furthermore, </w:t>
      </w:r>
      <w:r w:rsidR="00B43439" w:rsidRPr="003505CE">
        <w:rPr>
          <w:rFonts w:ascii="Arial" w:hAnsi="Arial" w:cs="Arial"/>
        </w:rPr>
        <w:t xml:space="preserve">Arkema </w:t>
      </w:r>
      <w:r w:rsidR="00CD3456">
        <w:rPr>
          <w:rFonts w:ascii="Arial" w:hAnsi="Arial" w:cs="Arial"/>
        </w:rPr>
        <w:t xml:space="preserve">SA </w:t>
      </w:r>
      <w:r w:rsidR="00B43439" w:rsidRPr="003505CE">
        <w:rPr>
          <w:rFonts w:ascii="Arial" w:hAnsi="Arial" w:cs="Arial"/>
        </w:rPr>
        <w:t xml:space="preserve">has the largest range of </w:t>
      </w:r>
      <w:r>
        <w:rPr>
          <w:rFonts w:ascii="Arial" w:hAnsi="Arial" w:cs="Arial"/>
        </w:rPr>
        <w:t xml:space="preserve">UPR </w:t>
      </w:r>
      <w:r w:rsidR="00B43439" w:rsidRPr="003505CE">
        <w:rPr>
          <w:rFonts w:ascii="Arial" w:hAnsi="Arial" w:cs="Arial"/>
        </w:rPr>
        <w:t>products</w:t>
      </w:r>
      <w:r w:rsidR="00B43439" w:rsidRPr="009A5B60">
        <w:rPr>
          <w:rStyle w:val="FootnoteReference"/>
          <w:rFonts w:ascii="Arial" w:hAnsi="Arial" w:cs="Arial"/>
        </w:rPr>
        <w:footnoteReference w:id="192"/>
      </w:r>
      <w:r w:rsidR="00B43439" w:rsidRPr="003505CE">
        <w:rPr>
          <w:rFonts w:ascii="Arial" w:hAnsi="Arial" w:cs="Arial"/>
        </w:rPr>
        <w:t xml:space="preserve"> relative to its competitors, which reflects its range of technical capabilities and witnesses considered Arkema </w:t>
      </w:r>
      <w:r w:rsidR="00CD3456">
        <w:rPr>
          <w:rFonts w:ascii="Arial" w:hAnsi="Arial" w:cs="Arial"/>
        </w:rPr>
        <w:t xml:space="preserve">SA </w:t>
      </w:r>
      <w:r w:rsidR="00B43439" w:rsidRPr="003505CE">
        <w:rPr>
          <w:rFonts w:ascii="Arial" w:hAnsi="Arial" w:cs="Arial"/>
        </w:rPr>
        <w:t xml:space="preserve">to have very high quality products. </w:t>
      </w:r>
      <w:r w:rsidR="00D77BDC" w:rsidRPr="003505CE">
        <w:rPr>
          <w:rFonts w:ascii="Arial" w:hAnsi="Arial" w:cs="Arial"/>
        </w:rPr>
        <w:t xml:space="preserve">Leveugle candidly stated that Scott Bader cannot manufacture half the UPR resin products that Arkema </w:t>
      </w:r>
      <w:r w:rsidR="00CD3456">
        <w:rPr>
          <w:rFonts w:ascii="Arial" w:hAnsi="Arial" w:cs="Arial"/>
        </w:rPr>
        <w:t xml:space="preserve">SA </w:t>
      </w:r>
      <w:r w:rsidR="00D77BDC" w:rsidRPr="003505CE">
        <w:rPr>
          <w:rFonts w:ascii="Arial" w:hAnsi="Arial" w:cs="Arial"/>
        </w:rPr>
        <w:t>is able to (without actually acquiring Arkema</w:t>
      </w:r>
      <w:r w:rsidR="00CD3456">
        <w:rPr>
          <w:rFonts w:ascii="Arial" w:hAnsi="Arial" w:cs="Arial"/>
        </w:rPr>
        <w:t xml:space="preserve"> SA</w:t>
      </w:r>
      <w:r w:rsidR="00D77BDC" w:rsidRPr="003505CE">
        <w:rPr>
          <w:rFonts w:ascii="Arial" w:hAnsi="Arial" w:cs="Arial"/>
        </w:rPr>
        <w:t xml:space="preserve">) and that KZN Resins cannot produce Arkema SA’s UPR </w:t>
      </w:r>
      <w:r w:rsidR="00D77BDC" w:rsidRPr="003505CE">
        <w:rPr>
          <w:rFonts w:ascii="Arial" w:hAnsi="Arial" w:cs="Arial"/>
        </w:rPr>
        <w:lastRenderedPageBreak/>
        <w:t>grades.</w:t>
      </w:r>
      <w:r w:rsidR="00D77BDC">
        <w:rPr>
          <w:rStyle w:val="FootnoteReference"/>
          <w:rFonts w:ascii="Arial" w:hAnsi="Arial" w:cs="Arial"/>
        </w:rPr>
        <w:footnoteReference w:id="193"/>
      </w:r>
      <w:r w:rsidR="00D77BDC" w:rsidRPr="003505CE">
        <w:rPr>
          <w:rFonts w:ascii="Arial" w:hAnsi="Arial" w:cs="Arial"/>
        </w:rPr>
        <w:t xml:space="preserve"> </w:t>
      </w:r>
      <w:r w:rsidR="00B43439" w:rsidRPr="003505CE">
        <w:rPr>
          <w:rFonts w:ascii="Arial" w:hAnsi="Arial" w:cs="Arial"/>
        </w:rPr>
        <w:t xml:space="preserve">Furthermore, </w:t>
      </w:r>
      <w:r w:rsidR="00063984" w:rsidRPr="003505CE">
        <w:rPr>
          <w:rFonts w:ascii="Arial" w:hAnsi="Arial" w:cs="Arial"/>
        </w:rPr>
        <w:t xml:space="preserve">as indicated above, </w:t>
      </w:r>
      <w:r w:rsidR="00B43439" w:rsidRPr="003505CE">
        <w:rPr>
          <w:rFonts w:ascii="Arial" w:hAnsi="Arial" w:cs="Arial"/>
        </w:rPr>
        <w:t xml:space="preserve">Perrow identified Arkema products that NCS has either been unable to replicate technically or replicate at the price points that Arkema is able to produce them at, including </w:t>
      </w:r>
      <w:r w:rsidR="00796190">
        <w:rPr>
          <w:rFonts w:ascii="Arial" w:hAnsi="Arial" w:cs="Arial"/>
        </w:rPr>
        <w:t xml:space="preserve">[...] </w:t>
      </w:r>
      <w:r w:rsidR="00B43439" w:rsidRPr="00D53B20">
        <w:rPr>
          <w:rFonts w:ascii="Arial" w:hAnsi="Arial" w:cs="Arial"/>
        </w:rPr>
        <w:t>products</w:t>
      </w:r>
      <w:r w:rsidR="00B43439" w:rsidRPr="003505CE">
        <w:rPr>
          <w:rFonts w:ascii="Arial" w:hAnsi="Arial" w:cs="Arial"/>
        </w:rPr>
        <w:t>.</w:t>
      </w:r>
      <w:r w:rsidR="00B43439">
        <w:rPr>
          <w:rStyle w:val="FootnoteReference"/>
          <w:rFonts w:ascii="Arial" w:hAnsi="Arial" w:cs="Arial"/>
        </w:rPr>
        <w:footnoteReference w:id="194"/>
      </w:r>
      <w:r w:rsidR="00B43439" w:rsidRPr="003505CE">
        <w:rPr>
          <w:rFonts w:ascii="Arial" w:hAnsi="Arial" w:cs="Arial"/>
        </w:rPr>
        <w:t xml:space="preserve"> </w:t>
      </w:r>
    </w:p>
    <w:p w:rsidR="001739BA" w:rsidRDefault="00D77BDC" w:rsidP="0080582B">
      <w:pPr>
        <w:pStyle w:val="ListParagraph"/>
        <w:numPr>
          <w:ilvl w:val="0"/>
          <w:numId w:val="2"/>
        </w:numPr>
        <w:spacing w:after="240" w:line="360" w:lineRule="auto"/>
        <w:ind w:left="0" w:firstLine="0"/>
        <w:jc w:val="both"/>
        <w:rPr>
          <w:rFonts w:ascii="Arial" w:hAnsi="Arial" w:cs="Arial"/>
        </w:rPr>
      </w:pPr>
      <w:r>
        <w:rPr>
          <w:rFonts w:ascii="Arial" w:hAnsi="Arial" w:cs="Arial"/>
        </w:rPr>
        <w:t>We conclude that t</w:t>
      </w:r>
      <w:r w:rsidR="005A34BA" w:rsidRPr="00B43439">
        <w:rPr>
          <w:rFonts w:ascii="Arial" w:hAnsi="Arial" w:cs="Arial"/>
        </w:rPr>
        <w:t xml:space="preserve">he </w:t>
      </w:r>
      <w:r w:rsidR="0008450E">
        <w:rPr>
          <w:rFonts w:ascii="Arial" w:hAnsi="Arial" w:cs="Arial"/>
        </w:rPr>
        <w:t xml:space="preserve">proposed </w:t>
      </w:r>
      <w:r w:rsidR="005A34BA" w:rsidRPr="00B43439">
        <w:rPr>
          <w:rFonts w:ascii="Arial" w:hAnsi="Arial" w:cs="Arial"/>
        </w:rPr>
        <w:t xml:space="preserve">merger removes </w:t>
      </w:r>
      <w:r w:rsidR="00B43439">
        <w:rPr>
          <w:rFonts w:ascii="Arial" w:hAnsi="Arial" w:cs="Arial"/>
        </w:rPr>
        <w:t xml:space="preserve">Arkema SA as </w:t>
      </w:r>
      <w:r w:rsidR="00E24A30" w:rsidRPr="00B43439">
        <w:rPr>
          <w:rFonts w:ascii="Arial" w:hAnsi="Arial" w:cs="Arial"/>
        </w:rPr>
        <w:t>an effective competitor f</w:t>
      </w:r>
      <w:r w:rsidR="00D17D7B">
        <w:rPr>
          <w:rFonts w:ascii="Arial" w:hAnsi="Arial" w:cs="Arial"/>
        </w:rPr>
        <w:t>r</w:t>
      </w:r>
      <w:r w:rsidR="00E24A30" w:rsidRPr="00B43439">
        <w:rPr>
          <w:rFonts w:ascii="Arial" w:hAnsi="Arial" w:cs="Arial"/>
        </w:rPr>
        <w:t>om the market for the production and sale of UPR</w:t>
      </w:r>
      <w:r>
        <w:rPr>
          <w:rFonts w:ascii="Arial" w:hAnsi="Arial" w:cs="Arial"/>
        </w:rPr>
        <w:t xml:space="preserve">, specifically </w:t>
      </w:r>
      <w:r w:rsidR="0008450E">
        <w:rPr>
          <w:rFonts w:ascii="Arial" w:hAnsi="Arial" w:cs="Arial"/>
        </w:rPr>
        <w:t xml:space="preserve">with regards to </w:t>
      </w:r>
      <w:r>
        <w:rPr>
          <w:rFonts w:ascii="Arial" w:hAnsi="Arial" w:cs="Arial"/>
        </w:rPr>
        <w:t>specialised and customised UPR</w:t>
      </w:r>
      <w:r w:rsidR="00E24A30" w:rsidRPr="00B43439">
        <w:rPr>
          <w:rFonts w:ascii="Arial" w:hAnsi="Arial" w:cs="Arial"/>
        </w:rPr>
        <w:t xml:space="preserve">. </w:t>
      </w:r>
      <w:r w:rsidR="00B43439">
        <w:rPr>
          <w:rFonts w:ascii="Arial" w:hAnsi="Arial" w:cs="Arial"/>
        </w:rPr>
        <w:t>Furthermore, for the market segments other than general purpose resin, w</w:t>
      </w:r>
      <w:r w:rsidR="00556677" w:rsidRPr="00B43439">
        <w:rPr>
          <w:rFonts w:ascii="Arial" w:hAnsi="Arial" w:cs="Arial"/>
        </w:rPr>
        <w:t>e have found no credible evidence that the resellers and blenders that are active in the market impose a competitive threat to the UPR producers</w:t>
      </w:r>
      <w:r w:rsidR="00BB084B">
        <w:rPr>
          <w:rFonts w:ascii="Arial" w:hAnsi="Arial" w:cs="Arial"/>
        </w:rPr>
        <w:t xml:space="preserve">, nor that imports would place a significant constraint on </w:t>
      </w:r>
      <w:proofErr w:type="gramStart"/>
      <w:r w:rsidR="00BB084B">
        <w:rPr>
          <w:rFonts w:ascii="Arial" w:hAnsi="Arial" w:cs="Arial"/>
        </w:rPr>
        <w:t>a hypothetical</w:t>
      </w:r>
      <w:proofErr w:type="gramEnd"/>
      <w:r w:rsidR="00BB084B">
        <w:rPr>
          <w:rFonts w:ascii="Arial" w:hAnsi="Arial" w:cs="Arial"/>
        </w:rPr>
        <w:t xml:space="preserve"> small but significant post-merger price increase or </w:t>
      </w:r>
      <w:r w:rsidR="00BB41C0">
        <w:rPr>
          <w:rFonts w:ascii="Arial" w:hAnsi="Arial" w:cs="Arial"/>
        </w:rPr>
        <w:t xml:space="preserve">service </w:t>
      </w:r>
      <w:r w:rsidR="00BB084B">
        <w:rPr>
          <w:rFonts w:ascii="Arial" w:hAnsi="Arial" w:cs="Arial"/>
        </w:rPr>
        <w:t>deterioration</w:t>
      </w:r>
      <w:r w:rsidR="00556677" w:rsidRPr="00B43439">
        <w:rPr>
          <w:rFonts w:ascii="Arial" w:hAnsi="Arial" w:cs="Arial"/>
        </w:rPr>
        <w:t>.</w:t>
      </w:r>
      <w:r w:rsidR="00F32653">
        <w:rPr>
          <w:rFonts w:ascii="Arial" w:hAnsi="Arial" w:cs="Arial"/>
        </w:rPr>
        <w:t xml:space="preserve"> We therefore find that the </w:t>
      </w:r>
      <w:r w:rsidR="007E341C">
        <w:rPr>
          <w:rFonts w:ascii="Arial" w:hAnsi="Arial" w:cs="Arial"/>
        </w:rPr>
        <w:t xml:space="preserve">proposed merger </w:t>
      </w:r>
      <w:r w:rsidR="00D17D7B">
        <w:rPr>
          <w:rFonts w:ascii="Arial" w:hAnsi="Arial" w:cs="Arial"/>
        </w:rPr>
        <w:t>substantially</w:t>
      </w:r>
      <w:r w:rsidR="007E341C">
        <w:rPr>
          <w:rFonts w:ascii="Arial" w:hAnsi="Arial" w:cs="Arial"/>
        </w:rPr>
        <w:t xml:space="preserve"> prevents or lessens competition in </w:t>
      </w:r>
      <w:r w:rsidR="007E341C" w:rsidRPr="00B43439">
        <w:rPr>
          <w:rFonts w:ascii="Arial" w:hAnsi="Arial" w:cs="Arial"/>
        </w:rPr>
        <w:t>the market for the production and sale of UPR</w:t>
      </w:r>
      <w:r w:rsidR="007E341C">
        <w:rPr>
          <w:rFonts w:ascii="Arial" w:hAnsi="Arial" w:cs="Arial"/>
        </w:rPr>
        <w:t xml:space="preserve">, specifically </w:t>
      </w:r>
      <w:r w:rsidR="0008450E">
        <w:rPr>
          <w:rFonts w:ascii="Arial" w:hAnsi="Arial" w:cs="Arial"/>
        </w:rPr>
        <w:t xml:space="preserve">with reference to </w:t>
      </w:r>
      <w:r w:rsidR="007E341C">
        <w:rPr>
          <w:rFonts w:ascii="Arial" w:hAnsi="Arial" w:cs="Arial"/>
        </w:rPr>
        <w:t>specialised and customised UPR.</w:t>
      </w:r>
    </w:p>
    <w:p w:rsidR="00F32653" w:rsidRDefault="00F32653" w:rsidP="00F32653">
      <w:pPr>
        <w:pStyle w:val="ListParagraph"/>
        <w:numPr>
          <w:ilvl w:val="0"/>
          <w:numId w:val="2"/>
        </w:numPr>
        <w:spacing w:after="240" w:line="360" w:lineRule="auto"/>
        <w:ind w:left="0" w:firstLine="0"/>
        <w:jc w:val="both"/>
        <w:rPr>
          <w:rFonts w:ascii="Arial" w:hAnsi="Arial" w:cs="Arial"/>
        </w:rPr>
      </w:pPr>
      <w:r w:rsidRPr="00484DD6">
        <w:rPr>
          <w:rFonts w:ascii="Arial" w:hAnsi="Arial" w:cs="Arial"/>
        </w:rPr>
        <w:t>With regards to general purpose UPR</w:t>
      </w:r>
      <w:r>
        <w:rPr>
          <w:rFonts w:ascii="Arial" w:hAnsi="Arial" w:cs="Arial"/>
        </w:rPr>
        <w:t xml:space="preserve"> (as opposed to specialised or customised resins), however, </w:t>
      </w:r>
      <w:r w:rsidRPr="00484DD6">
        <w:rPr>
          <w:rFonts w:ascii="Arial" w:hAnsi="Arial" w:cs="Arial"/>
        </w:rPr>
        <w:t xml:space="preserve">any </w:t>
      </w:r>
      <w:r w:rsidR="00BB41C0">
        <w:rPr>
          <w:rFonts w:ascii="Arial" w:hAnsi="Arial" w:cs="Arial"/>
        </w:rPr>
        <w:t xml:space="preserve">significant </w:t>
      </w:r>
      <w:r w:rsidRPr="00484DD6">
        <w:rPr>
          <w:rFonts w:ascii="Arial" w:hAnsi="Arial" w:cs="Arial"/>
        </w:rPr>
        <w:t xml:space="preserve">competition </w:t>
      </w:r>
      <w:r w:rsidR="00BB41C0">
        <w:rPr>
          <w:rFonts w:ascii="Arial" w:hAnsi="Arial" w:cs="Arial"/>
        </w:rPr>
        <w:t xml:space="preserve">concerns </w:t>
      </w:r>
      <w:r w:rsidRPr="00484DD6">
        <w:rPr>
          <w:rFonts w:ascii="Arial" w:hAnsi="Arial" w:cs="Arial"/>
        </w:rPr>
        <w:t xml:space="preserve">resulting from the proposed merger </w:t>
      </w:r>
      <w:r>
        <w:rPr>
          <w:rFonts w:ascii="Arial" w:hAnsi="Arial" w:cs="Arial"/>
        </w:rPr>
        <w:t>appear</w:t>
      </w:r>
      <w:r w:rsidR="0008450E">
        <w:rPr>
          <w:rFonts w:ascii="Arial" w:hAnsi="Arial" w:cs="Arial"/>
        </w:rPr>
        <w:t xml:space="preserve"> </w:t>
      </w:r>
      <w:r w:rsidRPr="00BA3021">
        <w:rPr>
          <w:rFonts w:ascii="Arial" w:hAnsi="Arial" w:cs="Arial"/>
        </w:rPr>
        <w:t xml:space="preserve">less compelling since general purpose resin can be sourced from a </w:t>
      </w:r>
      <w:r>
        <w:rPr>
          <w:rFonts w:ascii="Arial" w:hAnsi="Arial" w:cs="Arial"/>
        </w:rPr>
        <w:t>broader</w:t>
      </w:r>
      <w:r w:rsidRPr="00BA3021">
        <w:rPr>
          <w:rFonts w:ascii="Arial" w:hAnsi="Arial" w:cs="Arial"/>
        </w:rPr>
        <w:t xml:space="preserve"> range of suppliers, including </w:t>
      </w:r>
      <w:r>
        <w:rPr>
          <w:rFonts w:ascii="Arial" w:hAnsi="Arial" w:cs="Arial"/>
        </w:rPr>
        <w:t xml:space="preserve">the UPR producers and </w:t>
      </w:r>
      <w:r w:rsidRPr="00BA3021">
        <w:rPr>
          <w:rFonts w:ascii="Arial" w:hAnsi="Arial" w:cs="Arial"/>
        </w:rPr>
        <w:t>a range of resellers</w:t>
      </w:r>
      <w:r>
        <w:rPr>
          <w:rFonts w:ascii="Arial" w:hAnsi="Arial" w:cs="Arial"/>
        </w:rPr>
        <w:t>/blenders</w:t>
      </w:r>
      <w:r w:rsidRPr="00BA3021">
        <w:rPr>
          <w:rFonts w:ascii="Arial" w:hAnsi="Arial" w:cs="Arial"/>
        </w:rPr>
        <w:t xml:space="preserve">. The evidence has been that </w:t>
      </w:r>
      <w:r w:rsidR="00D17D7B">
        <w:rPr>
          <w:rFonts w:ascii="Arial" w:hAnsi="Arial" w:cs="Arial"/>
        </w:rPr>
        <w:t xml:space="preserve">the </w:t>
      </w:r>
      <w:r w:rsidRPr="00BA3021">
        <w:rPr>
          <w:rFonts w:ascii="Arial" w:hAnsi="Arial" w:cs="Arial"/>
        </w:rPr>
        <w:t xml:space="preserve">pricing of general purpose resins </w:t>
      </w:r>
      <w:r w:rsidR="0008450E">
        <w:rPr>
          <w:rFonts w:ascii="Arial" w:hAnsi="Arial" w:cs="Arial"/>
        </w:rPr>
        <w:t>is</w:t>
      </w:r>
      <w:r w:rsidRPr="00BA3021">
        <w:rPr>
          <w:rFonts w:ascii="Arial" w:hAnsi="Arial" w:cs="Arial"/>
        </w:rPr>
        <w:t xml:space="preserve"> competitive and customers will switch suppliers based on price considerations rather than </w:t>
      </w:r>
      <w:r w:rsidR="0008450E">
        <w:rPr>
          <w:rFonts w:ascii="Arial" w:hAnsi="Arial" w:cs="Arial"/>
        </w:rPr>
        <w:t xml:space="preserve">on </w:t>
      </w:r>
      <w:r w:rsidRPr="00BA3021">
        <w:rPr>
          <w:rFonts w:ascii="Arial" w:hAnsi="Arial" w:cs="Arial"/>
        </w:rPr>
        <w:t>quality</w:t>
      </w:r>
      <w:r>
        <w:rPr>
          <w:rFonts w:ascii="Arial" w:hAnsi="Arial" w:cs="Arial"/>
        </w:rPr>
        <w:t xml:space="preserve"> </w:t>
      </w:r>
      <w:r w:rsidR="0008450E">
        <w:rPr>
          <w:rFonts w:ascii="Arial" w:hAnsi="Arial" w:cs="Arial"/>
        </w:rPr>
        <w:t>considerations</w:t>
      </w:r>
      <w:r w:rsidRPr="00BA3021">
        <w:rPr>
          <w:rFonts w:ascii="Arial" w:hAnsi="Arial" w:cs="Arial"/>
        </w:rPr>
        <w:t>.</w:t>
      </w:r>
      <w:r w:rsidRPr="00BA3021">
        <w:rPr>
          <w:rStyle w:val="FootnoteReference"/>
          <w:rFonts w:ascii="Arial" w:hAnsi="Arial" w:cs="Arial"/>
        </w:rPr>
        <w:footnoteReference w:id="195"/>
      </w:r>
      <w:r w:rsidRPr="00BA3021">
        <w:rPr>
          <w:rFonts w:ascii="Arial" w:hAnsi="Arial" w:cs="Arial"/>
        </w:rPr>
        <w:t xml:space="preserve"> </w:t>
      </w:r>
      <w:r w:rsidRPr="00484DD6">
        <w:rPr>
          <w:rFonts w:ascii="Arial" w:hAnsi="Arial" w:cs="Arial"/>
        </w:rPr>
        <w:t>Loukidis referred to general purpose resin as “</w:t>
      </w:r>
      <w:r w:rsidRPr="00484DD6">
        <w:rPr>
          <w:rFonts w:ascii="Arial" w:hAnsi="Arial" w:cs="Arial"/>
          <w:i/>
        </w:rPr>
        <w:t>baked beans in tomato sauce</w:t>
      </w:r>
      <w:r w:rsidRPr="00484DD6">
        <w:rPr>
          <w:rFonts w:ascii="Arial" w:hAnsi="Arial" w:cs="Arial"/>
        </w:rPr>
        <w:t>”</w:t>
      </w:r>
      <w:r>
        <w:rPr>
          <w:rStyle w:val="FootnoteReference"/>
          <w:rFonts w:ascii="Arial" w:hAnsi="Arial" w:cs="Arial"/>
        </w:rPr>
        <w:footnoteReference w:id="196"/>
      </w:r>
      <w:r w:rsidRPr="00484DD6">
        <w:rPr>
          <w:rFonts w:ascii="Arial" w:hAnsi="Arial" w:cs="Arial"/>
        </w:rPr>
        <w:t xml:space="preserve"> and explained why he could not charge more for general purpose resins than he did: “</w:t>
      </w:r>
      <w:r w:rsidRPr="00484DD6">
        <w:rPr>
          <w:rFonts w:ascii="Arial" w:hAnsi="Arial" w:cs="Arial"/>
          <w:i/>
        </w:rPr>
        <w:t>unless I’ve got some wonderful benefit on a general purpose resin, I cannot expect a customer to pay more</w:t>
      </w:r>
      <w:r w:rsidRPr="00484DD6">
        <w:rPr>
          <w:rFonts w:ascii="Arial" w:hAnsi="Arial" w:cs="Arial"/>
        </w:rPr>
        <w:t>”;</w:t>
      </w:r>
      <w:r>
        <w:rPr>
          <w:rStyle w:val="FootnoteReference"/>
          <w:rFonts w:ascii="Arial" w:hAnsi="Arial" w:cs="Arial"/>
        </w:rPr>
        <w:footnoteReference w:id="197"/>
      </w:r>
      <w:r w:rsidRPr="00484DD6">
        <w:rPr>
          <w:rFonts w:ascii="Arial" w:hAnsi="Arial" w:cs="Arial"/>
        </w:rPr>
        <w:t xml:space="preserve"> and “</w:t>
      </w:r>
      <w:r w:rsidRPr="00BA3021">
        <w:rPr>
          <w:rFonts w:ascii="Arial" w:hAnsi="Arial" w:cs="Arial"/>
          <w:i/>
        </w:rPr>
        <w:t>price sensitivity is the name of the game. No matter how much better a product is, these guys change for 5c a kilo, 10c a kilo</w:t>
      </w:r>
      <w:r w:rsidRPr="00484DD6">
        <w:rPr>
          <w:rFonts w:ascii="Arial" w:hAnsi="Arial" w:cs="Arial"/>
        </w:rPr>
        <w:t>.”</w:t>
      </w:r>
      <w:r>
        <w:rPr>
          <w:rStyle w:val="FootnoteReference"/>
          <w:rFonts w:ascii="Arial" w:hAnsi="Arial" w:cs="Arial"/>
        </w:rPr>
        <w:footnoteReference w:id="198"/>
      </w:r>
      <w:r w:rsidRPr="00484DD6">
        <w:rPr>
          <w:rFonts w:ascii="Arial" w:hAnsi="Arial" w:cs="Arial"/>
        </w:rPr>
        <w:t xml:space="preserve"> Furthermore, current </w:t>
      </w:r>
      <w:r>
        <w:rPr>
          <w:rFonts w:ascii="Arial" w:hAnsi="Arial" w:cs="Arial"/>
        </w:rPr>
        <w:t xml:space="preserve">UPR </w:t>
      </w:r>
      <w:r w:rsidRPr="00484DD6">
        <w:rPr>
          <w:rFonts w:ascii="Arial" w:hAnsi="Arial" w:cs="Arial"/>
        </w:rPr>
        <w:t xml:space="preserve">imports appear to be predominantly general purpose </w:t>
      </w:r>
      <w:r w:rsidRPr="00484DD6">
        <w:rPr>
          <w:rFonts w:ascii="Arial" w:hAnsi="Arial" w:cs="Arial"/>
        </w:rPr>
        <w:lastRenderedPageBreak/>
        <w:t>resins and</w:t>
      </w:r>
      <w:r>
        <w:rPr>
          <w:rFonts w:ascii="Arial" w:hAnsi="Arial" w:cs="Arial"/>
        </w:rPr>
        <w:t xml:space="preserve">, based on the available evidence, </w:t>
      </w:r>
      <w:r w:rsidRPr="00484DD6">
        <w:rPr>
          <w:rFonts w:ascii="Arial" w:hAnsi="Arial" w:cs="Arial"/>
        </w:rPr>
        <w:t>potential further imports</w:t>
      </w:r>
      <w:r>
        <w:rPr>
          <w:rFonts w:ascii="Arial" w:hAnsi="Arial" w:cs="Arial"/>
        </w:rPr>
        <w:t xml:space="preserve"> of general purpose UPRs </w:t>
      </w:r>
      <w:r w:rsidR="00D92EF8">
        <w:rPr>
          <w:rFonts w:ascii="Arial" w:hAnsi="Arial" w:cs="Arial"/>
        </w:rPr>
        <w:t xml:space="preserve">may be </w:t>
      </w:r>
      <w:r w:rsidRPr="00484DD6">
        <w:rPr>
          <w:rFonts w:ascii="Arial" w:hAnsi="Arial" w:cs="Arial"/>
        </w:rPr>
        <w:t>possible.</w:t>
      </w:r>
      <w:r w:rsidRPr="00AE0AF3">
        <w:rPr>
          <w:rStyle w:val="FootnoteReference"/>
          <w:rFonts w:ascii="Arial" w:hAnsi="Arial" w:cs="Arial"/>
        </w:rPr>
        <w:footnoteReference w:id="199"/>
      </w:r>
      <w:r w:rsidRPr="00484DD6">
        <w:rPr>
          <w:rFonts w:ascii="Arial" w:hAnsi="Arial" w:cs="Arial"/>
        </w:rPr>
        <w:t xml:space="preserve"> </w:t>
      </w:r>
    </w:p>
    <w:p w:rsidR="00484DD6" w:rsidRDefault="001739BA" w:rsidP="00484DD6">
      <w:pPr>
        <w:pStyle w:val="ListParagraph"/>
        <w:numPr>
          <w:ilvl w:val="0"/>
          <w:numId w:val="2"/>
        </w:numPr>
        <w:spacing w:after="240" w:line="360" w:lineRule="auto"/>
        <w:ind w:left="0" w:firstLine="0"/>
        <w:jc w:val="both"/>
        <w:rPr>
          <w:rFonts w:ascii="Arial" w:hAnsi="Arial" w:cs="Arial"/>
        </w:rPr>
      </w:pPr>
      <w:r w:rsidRPr="00484DD6">
        <w:rPr>
          <w:rFonts w:ascii="Arial" w:hAnsi="Arial" w:cs="Arial"/>
        </w:rPr>
        <w:t xml:space="preserve">We have </w:t>
      </w:r>
      <w:r w:rsidR="00D12214">
        <w:rPr>
          <w:rFonts w:ascii="Arial" w:hAnsi="Arial" w:cs="Arial"/>
        </w:rPr>
        <w:t xml:space="preserve">already </w:t>
      </w:r>
      <w:r w:rsidRPr="00484DD6">
        <w:rPr>
          <w:rFonts w:ascii="Arial" w:hAnsi="Arial" w:cs="Arial"/>
        </w:rPr>
        <w:t>discussed the divestiture remedy as ultimately tendered by the merging parties</w:t>
      </w:r>
      <w:r w:rsidR="00D12214">
        <w:rPr>
          <w:rFonts w:ascii="Arial" w:hAnsi="Arial" w:cs="Arial"/>
        </w:rPr>
        <w:t xml:space="preserve"> and imposed by us</w:t>
      </w:r>
      <w:r w:rsidR="00BB41C0">
        <w:rPr>
          <w:rFonts w:ascii="Arial" w:hAnsi="Arial" w:cs="Arial"/>
        </w:rPr>
        <w:t xml:space="preserve"> as a condition</w:t>
      </w:r>
      <w:r w:rsidRPr="00484DD6">
        <w:rPr>
          <w:rFonts w:ascii="Arial" w:hAnsi="Arial" w:cs="Arial"/>
        </w:rPr>
        <w:t>.</w:t>
      </w:r>
      <w:r w:rsidR="00B43439" w:rsidRPr="00484DD6">
        <w:rPr>
          <w:rFonts w:ascii="Arial" w:hAnsi="Arial" w:cs="Arial"/>
        </w:rPr>
        <w:t xml:space="preserve"> </w:t>
      </w:r>
      <w:r w:rsidRPr="00484DD6">
        <w:rPr>
          <w:rFonts w:ascii="Arial" w:hAnsi="Arial" w:cs="Arial"/>
        </w:rPr>
        <w:t>We conclude that th</w:t>
      </w:r>
      <w:r w:rsidR="00B43439" w:rsidRPr="00484DD6">
        <w:rPr>
          <w:rFonts w:ascii="Arial" w:hAnsi="Arial" w:cs="Arial"/>
        </w:rPr>
        <w:t>is</w:t>
      </w:r>
      <w:r w:rsidRPr="00484DD6">
        <w:rPr>
          <w:rFonts w:ascii="Arial" w:hAnsi="Arial" w:cs="Arial"/>
        </w:rPr>
        <w:t xml:space="preserve"> </w:t>
      </w:r>
      <w:r w:rsidR="00666B32" w:rsidRPr="00484DD6">
        <w:rPr>
          <w:rFonts w:ascii="Arial" w:hAnsi="Arial" w:cs="Arial"/>
        </w:rPr>
        <w:t xml:space="preserve">divestiture </w:t>
      </w:r>
      <w:r w:rsidR="000456E9" w:rsidRPr="00484DD6">
        <w:rPr>
          <w:rFonts w:ascii="Arial" w:hAnsi="Arial" w:cs="Arial"/>
        </w:rPr>
        <w:t>condition</w:t>
      </w:r>
      <w:r w:rsidR="00D12214">
        <w:rPr>
          <w:rFonts w:ascii="Arial" w:hAnsi="Arial" w:cs="Arial"/>
        </w:rPr>
        <w:t xml:space="preserve"> adequately </w:t>
      </w:r>
      <w:r w:rsidR="00B43439" w:rsidRPr="00484DD6">
        <w:rPr>
          <w:rFonts w:ascii="Arial" w:hAnsi="Arial" w:cs="Arial"/>
        </w:rPr>
        <w:t>addresses the competition lost due to the merger since it</w:t>
      </w:r>
      <w:r w:rsidR="000456E9" w:rsidRPr="00484DD6">
        <w:rPr>
          <w:rFonts w:ascii="Arial" w:hAnsi="Arial" w:cs="Arial"/>
        </w:rPr>
        <w:t xml:space="preserve"> enables a third party (either an existing player or a new entrant) to utilise the Arkema SA formulations, alongside a toll manufacturing arrangement if necessary, to</w:t>
      </w:r>
      <w:r w:rsidR="00D109B1" w:rsidRPr="00484DD6">
        <w:rPr>
          <w:rFonts w:ascii="Arial" w:hAnsi="Arial" w:cs="Arial"/>
        </w:rPr>
        <w:t xml:space="preserve"> </w:t>
      </w:r>
      <w:r w:rsidR="000456E9" w:rsidRPr="00484DD6">
        <w:rPr>
          <w:rFonts w:ascii="Arial" w:hAnsi="Arial" w:cs="Arial"/>
        </w:rPr>
        <w:t>compete with the merged entity post-merger.</w:t>
      </w:r>
      <w:r w:rsidR="00B43439" w:rsidRPr="00484DD6">
        <w:rPr>
          <w:rFonts w:ascii="Arial" w:hAnsi="Arial" w:cs="Arial"/>
        </w:rPr>
        <w:t xml:space="preserve"> Although the remedy is not ideal, since it excludes </w:t>
      </w:r>
      <w:r w:rsidR="007E341C">
        <w:rPr>
          <w:rFonts w:ascii="Arial" w:hAnsi="Arial" w:cs="Arial"/>
        </w:rPr>
        <w:t xml:space="preserve">both </w:t>
      </w:r>
      <w:r w:rsidR="00B43439" w:rsidRPr="00484DD6">
        <w:rPr>
          <w:rFonts w:ascii="Arial" w:hAnsi="Arial" w:cs="Arial"/>
        </w:rPr>
        <w:t xml:space="preserve">tangible assets and employees, we </w:t>
      </w:r>
      <w:r w:rsidR="00BB41C0">
        <w:rPr>
          <w:rFonts w:ascii="Arial" w:hAnsi="Arial" w:cs="Arial"/>
        </w:rPr>
        <w:t xml:space="preserve">find </w:t>
      </w:r>
      <w:r w:rsidR="00B43439" w:rsidRPr="00484DD6">
        <w:rPr>
          <w:rFonts w:ascii="Arial" w:hAnsi="Arial" w:cs="Arial"/>
        </w:rPr>
        <w:t xml:space="preserve">that it is proportional </w:t>
      </w:r>
      <w:r w:rsidR="007E341C">
        <w:rPr>
          <w:rFonts w:ascii="Arial" w:hAnsi="Arial" w:cs="Arial"/>
        </w:rPr>
        <w:t xml:space="preserve">to the competition concerns resulting from the proposed merger </w:t>
      </w:r>
      <w:r w:rsidR="00B43439" w:rsidRPr="00484DD6">
        <w:rPr>
          <w:rFonts w:ascii="Arial" w:hAnsi="Arial" w:cs="Arial"/>
        </w:rPr>
        <w:t xml:space="preserve">since </w:t>
      </w:r>
      <w:r w:rsidR="00BB41C0" w:rsidRPr="00484DD6">
        <w:rPr>
          <w:rFonts w:ascii="Arial" w:hAnsi="Arial" w:cs="Arial"/>
        </w:rPr>
        <w:t>two other competitors</w:t>
      </w:r>
      <w:r w:rsidR="00BB41C0">
        <w:rPr>
          <w:rFonts w:ascii="Arial" w:hAnsi="Arial" w:cs="Arial"/>
        </w:rPr>
        <w:t>,</w:t>
      </w:r>
      <w:r w:rsidR="00BB41C0" w:rsidRPr="00484DD6">
        <w:rPr>
          <w:rFonts w:ascii="Arial" w:hAnsi="Arial" w:cs="Arial"/>
        </w:rPr>
        <w:t xml:space="preserve"> i.e. KZN Resins and Scott Bader</w:t>
      </w:r>
      <w:r w:rsidR="00BB41C0">
        <w:rPr>
          <w:rFonts w:ascii="Arial" w:hAnsi="Arial" w:cs="Arial"/>
        </w:rPr>
        <w:t xml:space="preserve">, remain </w:t>
      </w:r>
      <w:r w:rsidR="00D17D7B">
        <w:rPr>
          <w:rFonts w:ascii="Arial" w:hAnsi="Arial" w:cs="Arial"/>
        </w:rPr>
        <w:t xml:space="preserve">active </w:t>
      </w:r>
      <w:r w:rsidR="00B43439" w:rsidRPr="00484DD6">
        <w:rPr>
          <w:rFonts w:ascii="Arial" w:hAnsi="Arial" w:cs="Arial"/>
        </w:rPr>
        <w:t xml:space="preserve">in the </w:t>
      </w:r>
      <w:r w:rsidR="00BB41C0">
        <w:rPr>
          <w:rFonts w:ascii="Arial" w:hAnsi="Arial" w:cs="Arial"/>
        </w:rPr>
        <w:t xml:space="preserve">specialised and customised </w:t>
      </w:r>
      <w:r w:rsidR="00B43439" w:rsidRPr="00484DD6">
        <w:rPr>
          <w:rFonts w:ascii="Arial" w:hAnsi="Arial" w:cs="Arial"/>
        </w:rPr>
        <w:t>market segments,</w:t>
      </w:r>
      <w:r w:rsidR="007E341C">
        <w:rPr>
          <w:rFonts w:ascii="Arial" w:hAnsi="Arial" w:cs="Arial"/>
        </w:rPr>
        <w:t xml:space="preserve"> albeit that they do not have the extensive product range of Arkema</w:t>
      </w:r>
      <w:r w:rsidR="00D12214">
        <w:rPr>
          <w:rFonts w:ascii="Arial" w:hAnsi="Arial" w:cs="Arial"/>
        </w:rPr>
        <w:t xml:space="preserve"> </w:t>
      </w:r>
      <w:r w:rsidR="00BB41C0">
        <w:rPr>
          <w:rFonts w:ascii="Arial" w:hAnsi="Arial" w:cs="Arial"/>
        </w:rPr>
        <w:t xml:space="preserve">SA </w:t>
      </w:r>
      <w:r w:rsidR="00D12214">
        <w:rPr>
          <w:rFonts w:ascii="Arial" w:hAnsi="Arial" w:cs="Arial"/>
        </w:rPr>
        <w:t xml:space="preserve">(see paragraph </w:t>
      </w:r>
      <w:r w:rsidR="00986F37" w:rsidRPr="00CD2DDF">
        <w:rPr>
          <w:rFonts w:ascii="Arial" w:hAnsi="Arial" w:cs="Arial"/>
        </w:rPr>
        <w:t>14</w:t>
      </w:r>
      <w:r w:rsidR="003C0D6D" w:rsidRPr="00CD2DDF">
        <w:rPr>
          <w:rFonts w:ascii="Arial" w:hAnsi="Arial" w:cs="Arial"/>
        </w:rPr>
        <w:t>2</w:t>
      </w:r>
      <w:r w:rsidR="00D12214">
        <w:rPr>
          <w:rFonts w:ascii="Arial" w:hAnsi="Arial" w:cs="Arial"/>
        </w:rPr>
        <w:t xml:space="preserve"> above)</w:t>
      </w:r>
      <w:r w:rsidR="00B43439" w:rsidRPr="00484DD6">
        <w:rPr>
          <w:rFonts w:ascii="Arial" w:hAnsi="Arial" w:cs="Arial"/>
        </w:rPr>
        <w:t xml:space="preserve">. </w:t>
      </w:r>
    </w:p>
    <w:p w:rsidR="00011B90" w:rsidRPr="00353AC1" w:rsidRDefault="00353AC1" w:rsidP="00353AC1">
      <w:pPr>
        <w:pStyle w:val="ListParagraph"/>
        <w:spacing w:after="240" w:line="360" w:lineRule="auto"/>
        <w:ind w:left="0"/>
        <w:jc w:val="both"/>
        <w:rPr>
          <w:rFonts w:ascii="Arial" w:hAnsi="Arial" w:cs="Arial"/>
          <w:b/>
        </w:rPr>
      </w:pPr>
      <w:r w:rsidRPr="00353AC1">
        <w:rPr>
          <w:rFonts w:ascii="Arial" w:hAnsi="Arial" w:cs="Arial"/>
          <w:b/>
        </w:rPr>
        <w:t>Public interest</w:t>
      </w:r>
    </w:p>
    <w:p w:rsidR="007E341C" w:rsidRDefault="000F6A7B" w:rsidP="007E341C">
      <w:pPr>
        <w:pStyle w:val="ListParagraph"/>
        <w:numPr>
          <w:ilvl w:val="0"/>
          <w:numId w:val="2"/>
        </w:numPr>
        <w:spacing w:after="240" w:line="360" w:lineRule="auto"/>
        <w:ind w:left="0" w:firstLine="0"/>
        <w:jc w:val="both"/>
        <w:rPr>
          <w:rFonts w:ascii="Arial" w:hAnsi="Arial" w:cs="Arial"/>
        </w:rPr>
      </w:pPr>
      <w:r>
        <w:rPr>
          <w:rFonts w:ascii="Arial" w:hAnsi="Arial" w:cs="Arial"/>
        </w:rPr>
        <w:t xml:space="preserve">The proposed transaction raises no other public interest concerns other than in relation to employment. </w:t>
      </w:r>
      <w:r w:rsidR="00316304">
        <w:rPr>
          <w:rFonts w:ascii="Arial" w:hAnsi="Arial" w:cs="Arial"/>
        </w:rPr>
        <w:t>W</w:t>
      </w:r>
      <w:r w:rsidR="007E341C">
        <w:rPr>
          <w:rFonts w:ascii="Arial" w:hAnsi="Arial" w:cs="Arial"/>
        </w:rPr>
        <w:t>e discuss the effect of the proposed merger on employment</w:t>
      </w:r>
      <w:r w:rsidR="00316304" w:rsidRPr="00316304">
        <w:rPr>
          <w:rFonts w:ascii="Arial" w:hAnsi="Arial" w:cs="Arial"/>
        </w:rPr>
        <w:t xml:space="preserve"> </w:t>
      </w:r>
      <w:r w:rsidR="00316304">
        <w:rPr>
          <w:rFonts w:ascii="Arial" w:hAnsi="Arial" w:cs="Arial"/>
        </w:rPr>
        <w:t>below</w:t>
      </w:r>
      <w:r w:rsidR="007E341C">
        <w:rPr>
          <w:rFonts w:ascii="Arial" w:hAnsi="Arial" w:cs="Arial"/>
        </w:rPr>
        <w:t xml:space="preserve">. </w:t>
      </w:r>
    </w:p>
    <w:p w:rsidR="007E341C" w:rsidRPr="008A4FB3" w:rsidRDefault="007E341C" w:rsidP="007E341C">
      <w:pPr>
        <w:pStyle w:val="ListParagraph"/>
        <w:spacing w:after="240" w:line="360" w:lineRule="auto"/>
        <w:ind w:left="0"/>
        <w:jc w:val="both"/>
        <w:rPr>
          <w:rFonts w:ascii="Arial" w:hAnsi="Arial" w:cs="Arial"/>
          <w:b/>
          <w:i/>
        </w:rPr>
      </w:pPr>
      <w:r w:rsidRPr="008A4FB3">
        <w:rPr>
          <w:rFonts w:ascii="Arial" w:hAnsi="Arial" w:cs="Arial"/>
          <w:b/>
          <w:i/>
        </w:rPr>
        <w:t>Employment</w:t>
      </w:r>
    </w:p>
    <w:p w:rsidR="0012505B" w:rsidRDefault="0012505B" w:rsidP="0080582B">
      <w:pPr>
        <w:pStyle w:val="ListParagraph"/>
        <w:numPr>
          <w:ilvl w:val="0"/>
          <w:numId w:val="2"/>
        </w:numPr>
        <w:spacing w:after="240" w:line="360" w:lineRule="auto"/>
        <w:ind w:left="0" w:firstLine="0"/>
        <w:jc w:val="both"/>
        <w:rPr>
          <w:rFonts w:ascii="Arial" w:hAnsi="Arial" w:cs="Arial"/>
        </w:rPr>
      </w:pPr>
      <w:r>
        <w:rPr>
          <w:rFonts w:ascii="Arial" w:hAnsi="Arial" w:cs="Arial"/>
        </w:rPr>
        <w:t xml:space="preserve">The merging parties indicated to the Commission that there would be a </w:t>
      </w:r>
      <w:r w:rsidRPr="0012505B">
        <w:rPr>
          <w:rFonts w:ascii="Arial" w:hAnsi="Arial" w:cs="Arial"/>
        </w:rPr>
        <w:t>“</w:t>
      </w:r>
      <w:r w:rsidRPr="00C5724E">
        <w:rPr>
          <w:rFonts w:ascii="Arial" w:hAnsi="Arial" w:cs="Arial"/>
          <w:i/>
        </w:rPr>
        <w:t>rationalization of functions</w:t>
      </w:r>
      <w:r w:rsidRPr="0012505B">
        <w:rPr>
          <w:rFonts w:ascii="Arial" w:hAnsi="Arial" w:cs="Arial"/>
        </w:rPr>
        <w:t>”</w:t>
      </w:r>
      <w:r>
        <w:rPr>
          <w:rFonts w:ascii="Arial" w:hAnsi="Arial" w:cs="Arial"/>
        </w:rPr>
        <w:t xml:space="preserve"> as a result of the proposed merger</w:t>
      </w:r>
      <w:r w:rsidR="00316304">
        <w:rPr>
          <w:rFonts w:ascii="Arial" w:hAnsi="Arial" w:cs="Arial"/>
        </w:rPr>
        <w:t>,</w:t>
      </w:r>
      <w:r>
        <w:rPr>
          <w:rFonts w:ascii="Arial" w:hAnsi="Arial" w:cs="Arial"/>
        </w:rPr>
        <w:t xml:space="preserve"> </w:t>
      </w:r>
      <w:r w:rsidR="009664B7">
        <w:rPr>
          <w:rFonts w:ascii="Arial" w:hAnsi="Arial" w:cs="Arial"/>
        </w:rPr>
        <w:t xml:space="preserve">but gave no </w:t>
      </w:r>
      <w:r w:rsidR="009664B7" w:rsidRPr="00BE3637">
        <w:rPr>
          <w:rFonts w:ascii="Arial" w:hAnsi="Arial" w:cs="Arial"/>
        </w:rPr>
        <w:t xml:space="preserve">specific evidence of </w:t>
      </w:r>
      <w:r w:rsidR="009664B7">
        <w:rPr>
          <w:rFonts w:ascii="Arial" w:hAnsi="Arial" w:cs="Arial"/>
        </w:rPr>
        <w:t xml:space="preserve">job </w:t>
      </w:r>
      <w:r w:rsidR="009664B7" w:rsidRPr="00BE3637">
        <w:rPr>
          <w:rFonts w:ascii="Arial" w:hAnsi="Arial" w:cs="Arial"/>
        </w:rPr>
        <w:t>duplication caused by the merger</w:t>
      </w:r>
      <w:r w:rsidR="009664B7">
        <w:rPr>
          <w:rFonts w:ascii="Arial" w:hAnsi="Arial" w:cs="Arial"/>
        </w:rPr>
        <w:t xml:space="preserve">. The </w:t>
      </w:r>
      <w:r w:rsidRPr="0012505B">
        <w:rPr>
          <w:rFonts w:ascii="Arial" w:hAnsi="Arial" w:cs="Arial"/>
        </w:rPr>
        <w:t xml:space="preserve">merging parties </w:t>
      </w:r>
      <w:r w:rsidR="009664B7">
        <w:rPr>
          <w:rFonts w:ascii="Arial" w:hAnsi="Arial" w:cs="Arial"/>
        </w:rPr>
        <w:t xml:space="preserve">did however </w:t>
      </w:r>
      <w:r w:rsidRPr="0012505B">
        <w:rPr>
          <w:rFonts w:ascii="Arial" w:hAnsi="Arial" w:cs="Arial"/>
        </w:rPr>
        <w:t>offer a two</w:t>
      </w:r>
      <w:r w:rsidR="00D17D7B">
        <w:rPr>
          <w:rFonts w:ascii="Arial" w:hAnsi="Arial" w:cs="Arial"/>
        </w:rPr>
        <w:t>-</w:t>
      </w:r>
      <w:r w:rsidRPr="0012505B">
        <w:rPr>
          <w:rFonts w:ascii="Arial" w:hAnsi="Arial" w:cs="Arial"/>
        </w:rPr>
        <w:t xml:space="preserve">year moratorium on </w:t>
      </w:r>
      <w:r w:rsidR="000339B7" w:rsidRPr="000339B7">
        <w:rPr>
          <w:rFonts w:ascii="Arial" w:hAnsi="Arial" w:cs="Arial"/>
        </w:rPr>
        <w:t>job losses</w:t>
      </w:r>
      <w:r w:rsidR="000339B7" w:rsidRPr="0012505B">
        <w:rPr>
          <w:rFonts w:ascii="Arial" w:hAnsi="Arial" w:cs="Arial"/>
        </w:rPr>
        <w:t xml:space="preserve"> </w:t>
      </w:r>
      <w:r w:rsidR="001514D0">
        <w:rPr>
          <w:rFonts w:ascii="Arial" w:hAnsi="Arial" w:cs="Arial"/>
        </w:rPr>
        <w:t>result</w:t>
      </w:r>
      <w:r w:rsidR="005D76DA">
        <w:rPr>
          <w:rFonts w:ascii="Arial" w:hAnsi="Arial" w:cs="Arial"/>
        </w:rPr>
        <w:t xml:space="preserve">ing from </w:t>
      </w:r>
      <w:r w:rsidR="001514D0">
        <w:rPr>
          <w:rFonts w:ascii="Arial" w:hAnsi="Arial" w:cs="Arial"/>
        </w:rPr>
        <w:t>the proposed</w:t>
      </w:r>
      <w:r w:rsidR="000339B7">
        <w:rPr>
          <w:rFonts w:ascii="Arial" w:hAnsi="Arial" w:cs="Arial"/>
        </w:rPr>
        <w:t xml:space="preserve"> merger</w:t>
      </w:r>
      <w:r w:rsidR="00BE3637">
        <w:rPr>
          <w:rFonts w:ascii="Arial" w:hAnsi="Arial" w:cs="Arial"/>
        </w:rPr>
        <w:t>.</w:t>
      </w:r>
      <w:r w:rsidR="009664B7">
        <w:rPr>
          <w:rFonts w:ascii="Arial" w:hAnsi="Arial" w:cs="Arial"/>
        </w:rPr>
        <w:t xml:space="preserve"> </w:t>
      </w:r>
      <w:r w:rsidR="00C5724E">
        <w:rPr>
          <w:rFonts w:ascii="Arial" w:hAnsi="Arial" w:cs="Arial"/>
        </w:rPr>
        <w:t>As explained below, t</w:t>
      </w:r>
      <w:r w:rsidR="00D5024A">
        <w:rPr>
          <w:rFonts w:ascii="Arial" w:hAnsi="Arial" w:cs="Arial"/>
        </w:rPr>
        <w:t xml:space="preserve">his </w:t>
      </w:r>
      <w:r w:rsidR="00B977C7">
        <w:rPr>
          <w:rFonts w:ascii="Arial" w:hAnsi="Arial" w:cs="Arial"/>
        </w:rPr>
        <w:t xml:space="preserve">period </w:t>
      </w:r>
      <w:r w:rsidR="00D5024A">
        <w:rPr>
          <w:rFonts w:ascii="Arial" w:hAnsi="Arial" w:cs="Arial"/>
        </w:rPr>
        <w:t xml:space="preserve">was later </w:t>
      </w:r>
      <w:r w:rsidR="00B977C7">
        <w:rPr>
          <w:rFonts w:ascii="Arial" w:hAnsi="Arial" w:cs="Arial"/>
        </w:rPr>
        <w:t xml:space="preserve">extended to three years for </w:t>
      </w:r>
      <w:r w:rsidR="00D4342B">
        <w:rPr>
          <w:rFonts w:ascii="Arial" w:hAnsi="Arial" w:cs="Arial"/>
        </w:rPr>
        <w:t xml:space="preserve">all </w:t>
      </w:r>
      <w:r w:rsidR="00B977C7">
        <w:rPr>
          <w:rFonts w:ascii="Arial" w:hAnsi="Arial" w:cs="Arial"/>
        </w:rPr>
        <w:t>employees other than management</w:t>
      </w:r>
      <w:r w:rsidR="00D5024A">
        <w:rPr>
          <w:rFonts w:ascii="Arial" w:hAnsi="Arial" w:cs="Arial"/>
        </w:rPr>
        <w:t>.</w:t>
      </w:r>
    </w:p>
    <w:p w:rsidR="008253A1" w:rsidRPr="00316304" w:rsidRDefault="00004BA9" w:rsidP="0080582B">
      <w:pPr>
        <w:pStyle w:val="ListParagraph"/>
        <w:numPr>
          <w:ilvl w:val="0"/>
          <w:numId w:val="2"/>
        </w:numPr>
        <w:spacing w:after="240" w:line="360" w:lineRule="auto"/>
        <w:ind w:left="0" w:firstLine="0"/>
        <w:jc w:val="both"/>
        <w:rPr>
          <w:rFonts w:ascii="Arial" w:hAnsi="Arial" w:cs="Arial"/>
        </w:rPr>
      </w:pPr>
      <w:r w:rsidRPr="00316304">
        <w:rPr>
          <w:rFonts w:ascii="Arial" w:hAnsi="Arial" w:cs="Arial"/>
        </w:rPr>
        <w:t xml:space="preserve">The Tribunal received a written submission from </w:t>
      </w:r>
      <w:r w:rsidR="00111C1E" w:rsidRPr="00316304">
        <w:rPr>
          <w:rFonts w:ascii="Arial" w:hAnsi="Arial" w:cs="Arial"/>
        </w:rPr>
        <w:t>CEPP</w:t>
      </w:r>
      <w:r w:rsidR="000F6A7B">
        <w:rPr>
          <w:rFonts w:ascii="Arial" w:hAnsi="Arial" w:cs="Arial"/>
        </w:rPr>
        <w:t>W</w:t>
      </w:r>
      <w:r w:rsidR="00111C1E" w:rsidRPr="00316304">
        <w:rPr>
          <w:rFonts w:ascii="Arial" w:hAnsi="Arial" w:cs="Arial"/>
        </w:rPr>
        <w:t>AWU</w:t>
      </w:r>
      <w:r w:rsidR="00316304">
        <w:rPr>
          <w:rStyle w:val="FootnoteReference"/>
          <w:rFonts w:ascii="Arial" w:hAnsi="Arial" w:cs="Arial"/>
        </w:rPr>
        <w:footnoteReference w:id="200"/>
      </w:r>
      <w:r w:rsidR="00111C1E" w:rsidRPr="00316304">
        <w:rPr>
          <w:rFonts w:ascii="Arial" w:hAnsi="Arial" w:cs="Arial"/>
        </w:rPr>
        <w:t xml:space="preserve"> </w:t>
      </w:r>
      <w:r w:rsidRPr="00316304">
        <w:rPr>
          <w:rFonts w:ascii="Arial" w:hAnsi="Arial" w:cs="Arial"/>
        </w:rPr>
        <w:t xml:space="preserve">and also allowed </w:t>
      </w:r>
      <w:r w:rsidR="00C5724E" w:rsidRPr="00316304">
        <w:rPr>
          <w:rFonts w:ascii="Arial" w:hAnsi="Arial" w:cs="Arial"/>
        </w:rPr>
        <w:t>it</w:t>
      </w:r>
      <w:r w:rsidRPr="00316304">
        <w:rPr>
          <w:rFonts w:ascii="Arial" w:hAnsi="Arial" w:cs="Arial"/>
        </w:rPr>
        <w:t xml:space="preserve"> to make an oral submission at the hearing.</w:t>
      </w:r>
      <w:r w:rsidR="00071EBF" w:rsidRPr="00316304">
        <w:rPr>
          <w:rFonts w:ascii="Arial" w:hAnsi="Arial" w:cs="Arial"/>
        </w:rPr>
        <w:t xml:space="preserve"> </w:t>
      </w:r>
      <w:r w:rsidR="008253A1" w:rsidRPr="00316304">
        <w:rPr>
          <w:rFonts w:ascii="Arial" w:hAnsi="Arial" w:cs="Arial"/>
        </w:rPr>
        <w:t xml:space="preserve">CEPPWAWU indicated </w:t>
      </w:r>
      <w:r w:rsidR="008253A1" w:rsidRPr="00316304">
        <w:rPr>
          <w:rFonts w:ascii="Arial" w:hAnsi="Arial" w:cs="Arial"/>
          <w:i/>
        </w:rPr>
        <w:t>inter alia</w:t>
      </w:r>
      <w:r w:rsidR="008253A1" w:rsidRPr="00316304">
        <w:rPr>
          <w:rFonts w:ascii="Arial" w:hAnsi="Arial" w:cs="Arial"/>
        </w:rPr>
        <w:t>, w</w:t>
      </w:r>
      <w:r w:rsidR="00BA7E69" w:rsidRPr="00316304">
        <w:rPr>
          <w:rFonts w:ascii="Arial" w:hAnsi="Arial" w:cs="Arial"/>
        </w:rPr>
        <w:t>ith reference to the percentage unemployment rates/absorption rates per region, race, age and gender for Jan</w:t>
      </w:r>
      <w:r w:rsidR="008253A1" w:rsidRPr="00316304">
        <w:rPr>
          <w:rFonts w:ascii="Arial" w:hAnsi="Arial" w:cs="Arial"/>
        </w:rPr>
        <w:t>uary to March</w:t>
      </w:r>
      <w:r w:rsidR="00BA7E69" w:rsidRPr="00316304">
        <w:rPr>
          <w:rFonts w:ascii="Arial" w:hAnsi="Arial" w:cs="Arial"/>
        </w:rPr>
        <w:t xml:space="preserve"> 2014, that its members </w:t>
      </w:r>
      <w:r w:rsidR="00C5724E" w:rsidRPr="00316304">
        <w:rPr>
          <w:rFonts w:ascii="Arial" w:hAnsi="Arial" w:cs="Arial"/>
        </w:rPr>
        <w:t xml:space="preserve">employed by the merging </w:t>
      </w:r>
      <w:r w:rsidR="00C5724E" w:rsidRPr="00316304">
        <w:rPr>
          <w:rFonts w:ascii="Arial" w:hAnsi="Arial" w:cs="Arial"/>
        </w:rPr>
        <w:lastRenderedPageBreak/>
        <w:t xml:space="preserve">parties in KwaZulu-Natal </w:t>
      </w:r>
      <w:r w:rsidR="00BA7E69" w:rsidRPr="00316304">
        <w:rPr>
          <w:rFonts w:ascii="Arial" w:hAnsi="Arial" w:cs="Arial"/>
        </w:rPr>
        <w:t>are</w:t>
      </w:r>
      <w:r w:rsidR="008253A1" w:rsidRPr="00316304">
        <w:rPr>
          <w:rFonts w:ascii="Arial" w:hAnsi="Arial" w:cs="Arial"/>
        </w:rPr>
        <w:t xml:space="preserve"> highly vulnerable in the labour market should they be retrenched and are likely to have significant difficulty in finding </w:t>
      </w:r>
      <w:r w:rsidR="00C5724E" w:rsidRPr="00316304">
        <w:rPr>
          <w:rFonts w:ascii="Arial" w:hAnsi="Arial" w:cs="Arial"/>
        </w:rPr>
        <w:t xml:space="preserve">alternative </w:t>
      </w:r>
      <w:r w:rsidR="008253A1" w:rsidRPr="00316304">
        <w:rPr>
          <w:rFonts w:ascii="Arial" w:hAnsi="Arial" w:cs="Arial"/>
        </w:rPr>
        <w:t>employment.</w:t>
      </w:r>
    </w:p>
    <w:p w:rsidR="00071EBF" w:rsidRDefault="00071EBF" w:rsidP="0080582B">
      <w:pPr>
        <w:pStyle w:val="ListParagraph"/>
        <w:numPr>
          <w:ilvl w:val="0"/>
          <w:numId w:val="2"/>
        </w:numPr>
        <w:spacing w:after="240" w:line="360" w:lineRule="auto"/>
        <w:ind w:left="0" w:firstLine="0"/>
        <w:jc w:val="both"/>
        <w:rPr>
          <w:rFonts w:ascii="Arial" w:hAnsi="Arial" w:cs="Arial"/>
        </w:rPr>
      </w:pPr>
      <w:r w:rsidRPr="00DF6E7B">
        <w:rPr>
          <w:rFonts w:ascii="Arial" w:hAnsi="Arial" w:cs="Arial"/>
        </w:rPr>
        <w:t xml:space="preserve">We heard Ms </w:t>
      </w:r>
      <w:r w:rsidR="00F84BE8">
        <w:rPr>
          <w:rFonts w:ascii="Arial" w:hAnsi="Arial" w:cs="Arial"/>
        </w:rPr>
        <w:t>V</w:t>
      </w:r>
      <w:r w:rsidRPr="00DF6E7B">
        <w:rPr>
          <w:rFonts w:ascii="Arial" w:hAnsi="Arial" w:cs="Arial"/>
        </w:rPr>
        <w:t xml:space="preserve">an Meelis </w:t>
      </w:r>
      <w:r w:rsidR="00DF6E7B">
        <w:rPr>
          <w:rFonts w:ascii="Arial" w:hAnsi="Arial" w:cs="Arial"/>
        </w:rPr>
        <w:t>who indicated that</w:t>
      </w:r>
      <w:r w:rsidRPr="00DF6E7B">
        <w:rPr>
          <w:rFonts w:ascii="Arial" w:hAnsi="Arial" w:cs="Arial"/>
        </w:rPr>
        <w:t xml:space="preserve"> CEPPWAWU was supportive of the proposed merger</w:t>
      </w:r>
      <w:r w:rsidR="00DF6E7B" w:rsidRPr="00DF6E7B">
        <w:rPr>
          <w:rFonts w:ascii="Arial" w:hAnsi="Arial" w:cs="Arial"/>
        </w:rPr>
        <w:t xml:space="preserve"> in the interests of preserving jobs at the Arkema plant in South Africa</w:t>
      </w:r>
      <w:r w:rsidRPr="00DF6E7B">
        <w:rPr>
          <w:rFonts w:ascii="Arial" w:hAnsi="Arial" w:cs="Arial"/>
        </w:rPr>
        <w:t>.</w:t>
      </w:r>
      <w:r w:rsidR="00F6604E">
        <w:rPr>
          <w:rFonts w:ascii="Arial" w:hAnsi="Arial" w:cs="Arial"/>
        </w:rPr>
        <w:t xml:space="preserve"> She said that the union was given the assurance of the above-mentioned </w:t>
      </w:r>
      <w:r w:rsidR="006D0EB3">
        <w:rPr>
          <w:rFonts w:ascii="Arial" w:hAnsi="Arial" w:cs="Arial"/>
        </w:rPr>
        <w:t xml:space="preserve">employment-related </w:t>
      </w:r>
      <w:r w:rsidR="00F6604E">
        <w:rPr>
          <w:rFonts w:ascii="Arial" w:hAnsi="Arial" w:cs="Arial"/>
        </w:rPr>
        <w:t>undertaking of the merging parties.</w:t>
      </w:r>
      <w:r w:rsidR="006D0EB3">
        <w:rPr>
          <w:rStyle w:val="FootnoteReference"/>
          <w:rFonts w:ascii="Arial" w:hAnsi="Arial" w:cs="Arial"/>
        </w:rPr>
        <w:footnoteReference w:id="201"/>
      </w:r>
    </w:p>
    <w:p w:rsidR="0095651F" w:rsidRDefault="00FA141D" w:rsidP="0080582B">
      <w:pPr>
        <w:pStyle w:val="ListParagraph"/>
        <w:numPr>
          <w:ilvl w:val="0"/>
          <w:numId w:val="2"/>
        </w:numPr>
        <w:spacing w:after="240" w:line="360" w:lineRule="auto"/>
        <w:ind w:left="0" w:firstLine="0"/>
        <w:jc w:val="both"/>
        <w:rPr>
          <w:rFonts w:ascii="Arial" w:hAnsi="Arial" w:cs="Arial"/>
        </w:rPr>
      </w:pPr>
      <w:r w:rsidRPr="00C5724E">
        <w:rPr>
          <w:rFonts w:ascii="Arial" w:hAnsi="Arial" w:cs="Arial"/>
        </w:rPr>
        <w:t>Perrow</w:t>
      </w:r>
      <w:r w:rsidR="00F84BE8">
        <w:rPr>
          <w:rStyle w:val="FootnoteReference"/>
          <w:rFonts w:ascii="Arial" w:hAnsi="Arial" w:cs="Arial"/>
        </w:rPr>
        <w:footnoteReference w:id="202"/>
      </w:r>
      <w:r w:rsidRPr="00C5724E">
        <w:rPr>
          <w:rFonts w:ascii="Arial" w:hAnsi="Arial" w:cs="Arial"/>
        </w:rPr>
        <w:t xml:space="preserve"> testified that the </w:t>
      </w:r>
      <w:r w:rsidR="00316304">
        <w:rPr>
          <w:rFonts w:ascii="Arial" w:hAnsi="Arial" w:cs="Arial"/>
        </w:rPr>
        <w:t xml:space="preserve">proposed </w:t>
      </w:r>
      <w:r w:rsidRPr="00C5724E">
        <w:rPr>
          <w:rFonts w:ascii="Arial" w:hAnsi="Arial" w:cs="Arial"/>
        </w:rPr>
        <w:t xml:space="preserve">merger would have no negative effect on employment as provision would be made within NCS for all Arkema employees post-transaction and that the amount of job duplication would be minimal. </w:t>
      </w:r>
      <w:r w:rsidR="005E3AE7" w:rsidRPr="00C5724E">
        <w:rPr>
          <w:rFonts w:ascii="Arial" w:hAnsi="Arial" w:cs="Arial"/>
        </w:rPr>
        <w:t>Perrow stated “</w:t>
      </w:r>
      <w:r w:rsidR="005E3AE7" w:rsidRPr="00C5724E">
        <w:rPr>
          <w:rFonts w:ascii="Arial" w:hAnsi="Arial" w:cs="Arial"/>
          <w:i/>
        </w:rPr>
        <w:t>the area of the overlap between NCS and Arkema/Harveys comes on my side of the business. It’s on the polyester resin supply, that’s where the overlap is, the coatings is completely separate and I can’t imagine that would be affected much at all.</w:t>
      </w:r>
      <w:r w:rsidR="005E3AE7" w:rsidRPr="00C5724E">
        <w:rPr>
          <w:rFonts w:ascii="Arial" w:hAnsi="Arial" w:cs="Arial"/>
        </w:rPr>
        <w:t>”</w:t>
      </w:r>
      <w:r w:rsidR="00400567">
        <w:rPr>
          <w:rStyle w:val="FootnoteReference"/>
          <w:rFonts w:ascii="Arial" w:hAnsi="Arial" w:cs="Arial"/>
        </w:rPr>
        <w:footnoteReference w:id="203"/>
      </w:r>
      <w:r w:rsidR="005E3AE7" w:rsidRPr="00C5724E">
        <w:rPr>
          <w:rFonts w:ascii="Arial" w:hAnsi="Arial" w:cs="Arial"/>
        </w:rPr>
        <w:t xml:space="preserve"> </w:t>
      </w:r>
      <w:r w:rsidR="001B7A22" w:rsidRPr="00C5724E">
        <w:rPr>
          <w:rFonts w:ascii="Arial" w:hAnsi="Arial" w:cs="Arial"/>
        </w:rPr>
        <w:t xml:space="preserve">Furthermore, Perrow’s evidence was that they have not hired any new staff since the </w:t>
      </w:r>
      <w:r w:rsidR="00F84BE8">
        <w:rPr>
          <w:rFonts w:ascii="Arial" w:hAnsi="Arial" w:cs="Arial"/>
        </w:rPr>
        <w:t xml:space="preserve">proposed </w:t>
      </w:r>
      <w:r w:rsidR="001B7A22" w:rsidRPr="00C5724E">
        <w:rPr>
          <w:rFonts w:ascii="Arial" w:hAnsi="Arial" w:cs="Arial"/>
        </w:rPr>
        <w:t>merger was announced.</w:t>
      </w:r>
      <w:r w:rsidR="00AF0BE9" w:rsidRPr="001B7A22">
        <w:rPr>
          <w:rStyle w:val="FootnoteReference"/>
          <w:rFonts w:ascii="Arial" w:hAnsi="Arial" w:cs="Arial"/>
        </w:rPr>
        <w:footnoteReference w:id="204"/>
      </w:r>
      <w:r w:rsidR="008E5EB8">
        <w:rPr>
          <w:rFonts w:ascii="Arial" w:hAnsi="Arial" w:cs="Arial"/>
        </w:rPr>
        <w:t xml:space="preserve"> </w:t>
      </w:r>
    </w:p>
    <w:p w:rsidR="00F84BE8" w:rsidRDefault="009664B7" w:rsidP="00C5724E">
      <w:pPr>
        <w:pStyle w:val="ListParagraph"/>
        <w:numPr>
          <w:ilvl w:val="0"/>
          <w:numId w:val="2"/>
        </w:numPr>
        <w:spacing w:after="240" w:line="360" w:lineRule="auto"/>
        <w:ind w:left="0" w:firstLine="0"/>
        <w:jc w:val="both"/>
        <w:rPr>
          <w:rFonts w:ascii="Arial" w:hAnsi="Arial" w:cs="Arial"/>
        </w:rPr>
      </w:pPr>
      <w:r w:rsidRPr="00C5724E">
        <w:rPr>
          <w:rFonts w:ascii="Arial" w:hAnsi="Arial" w:cs="Arial"/>
        </w:rPr>
        <w:t xml:space="preserve">We </w:t>
      </w:r>
      <w:r w:rsidR="00316304">
        <w:rPr>
          <w:rFonts w:ascii="Arial" w:hAnsi="Arial" w:cs="Arial"/>
        </w:rPr>
        <w:t xml:space="preserve">have </w:t>
      </w:r>
      <w:r w:rsidRPr="00C5724E">
        <w:rPr>
          <w:rFonts w:ascii="Arial" w:hAnsi="Arial" w:cs="Arial"/>
        </w:rPr>
        <w:t xml:space="preserve">imposed </w:t>
      </w:r>
      <w:r w:rsidR="00316304">
        <w:rPr>
          <w:rFonts w:ascii="Arial" w:hAnsi="Arial" w:cs="Arial"/>
        </w:rPr>
        <w:t>the</w:t>
      </w:r>
      <w:r w:rsidRPr="00C5724E">
        <w:rPr>
          <w:rFonts w:ascii="Arial" w:hAnsi="Arial" w:cs="Arial"/>
        </w:rPr>
        <w:t xml:space="preserve"> </w:t>
      </w:r>
      <w:r w:rsidR="00F84BE8">
        <w:rPr>
          <w:rFonts w:ascii="Arial" w:hAnsi="Arial" w:cs="Arial"/>
        </w:rPr>
        <w:t xml:space="preserve">following </w:t>
      </w:r>
      <w:r w:rsidR="00316304">
        <w:rPr>
          <w:rFonts w:ascii="Arial" w:hAnsi="Arial" w:cs="Arial"/>
        </w:rPr>
        <w:t xml:space="preserve">employment-related </w:t>
      </w:r>
      <w:r w:rsidRPr="00C5724E">
        <w:rPr>
          <w:rFonts w:ascii="Arial" w:hAnsi="Arial" w:cs="Arial"/>
        </w:rPr>
        <w:t>condition</w:t>
      </w:r>
      <w:r w:rsidR="00F84BE8">
        <w:rPr>
          <w:rFonts w:ascii="Arial" w:hAnsi="Arial" w:cs="Arial"/>
        </w:rPr>
        <w:t xml:space="preserve">: </w:t>
      </w:r>
    </w:p>
    <w:p w:rsidR="00F84BE8" w:rsidRDefault="00C5724E" w:rsidP="00F84BE8">
      <w:pPr>
        <w:pStyle w:val="ListParagraph"/>
        <w:numPr>
          <w:ilvl w:val="1"/>
          <w:numId w:val="2"/>
        </w:numPr>
        <w:spacing w:after="240" w:line="360" w:lineRule="auto"/>
        <w:jc w:val="both"/>
        <w:rPr>
          <w:rFonts w:ascii="Arial" w:hAnsi="Arial" w:cs="Arial"/>
        </w:rPr>
      </w:pPr>
      <w:r w:rsidRPr="00C5724E">
        <w:rPr>
          <w:rFonts w:ascii="Arial" w:hAnsi="Arial" w:cs="Arial"/>
        </w:rPr>
        <w:t xml:space="preserve">Ferro shall not </w:t>
      </w:r>
      <w:proofErr w:type="spellStart"/>
      <w:r w:rsidRPr="00C5724E">
        <w:rPr>
          <w:rFonts w:ascii="Arial" w:hAnsi="Arial" w:cs="Arial"/>
        </w:rPr>
        <w:t>effect</w:t>
      </w:r>
      <w:proofErr w:type="spellEnd"/>
      <w:r w:rsidRPr="00C5724E">
        <w:rPr>
          <w:rFonts w:ascii="Arial" w:hAnsi="Arial" w:cs="Arial"/>
        </w:rPr>
        <w:t xml:space="preserve"> any retrenchments of any non-management employee(s) as a consequence of the implementation of the </w:t>
      </w:r>
      <w:r>
        <w:rPr>
          <w:rFonts w:ascii="Arial" w:hAnsi="Arial" w:cs="Arial"/>
        </w:rPr>
        <w:t>p</w:t>
      </w:r>
      <w:r w:rsidRPr="00C5724E">
        <w:rPr>
          <w:rFonts w:ascii="Arial" w:hAnsi="Arial" w:cs="Arial"/>
        </w:rPr>
        <w:t xml:space="preserve">roposed </w:t>
      </w:r>
      <w:r>
        <w:rPr>
          <w:rFonts w:ascii="Arial" w:hAnsi="Arial" w:cs="Arial"/>
        </w:rPr>
        <w:t>m</w:t>
      </w:r>
      <w:r w:rsidRPr="00C5724E">
        <w:rPr>
          <w:rFonts w:ascii="Arial" w:hAnsi="Arial" w:cs="Arial"/>
        </w:rPr>
        <w:t xml:space="preserve">erger for a period of </w:t>
      </w:r>
      <w:r w:rsidRPr="00D17D7B">
        <w:rPr>
          <w:rFonts w:ascii="Arial" w:hAnsi="Arial" w:cs="Arial"/>
          <w:u w:val="single"/>
        </w:rPr>
        <w:t>three</w:t>
      </w:r>
      <w:r w:rsidRPr="00C5724E">
        <w:rPr>
          <w:rFonts w:ascii="Arial" w:hAnsi="Arial" w:cs="Arial"/>
        </w:rPr>
        <w:t xml:space="preserve"> years from the </w:t>
      </w:r>
      <w:r>
        <w:rPr>
          <w:rFonts w:ascii="Arial" w:hAnsi="Arial" w:cs="Arial"/>
        </w:rPr>
        <w:t>a</w:t>
      </w:r>
      <w:r w:rsidRPr="00C5724E">
        <w:rPr>
          <w:rFonts w:ascii="Arial" w:hAnsi="Arial" w:cs="Arial"/>
        </w:rPr>
        <w:t xml:space="preserve">pproval </w:t>
      </w:r>
      <w:r>
        <w:rPr>
          <w:rFonts w:ascii="Arial" w:hAnsi="Arial" w:cs="Arial"/>
        </w:rPr>
        <w:t>d</w:t>
      </w:r>
      <w:r w:rsidRPr="00C5724E">
        <w:rPr>
          <w:rFonts w:ascii="Arial" w:hAnsi="Arial" w:cs="Arial"/>
        </w:rPr>
        <w:t>ate</w:t>
      </w:r>
      <w:r>
        <w:rPr>
          <w:rFonts w:ascii="Arial" w:hAnsi="Arial" w:cs="Arial"/>
        </w:rPr>
        <w:t xml:space="preserve"> of the merger</w:t>
      </w:r>
      <w:r w:rsidRPr="00C5724E">
        <w:rPr>
          <w:rFonts w:ascii="Arial" w:hAnsi="Arial" w:cs="Arial"/>
        </w:rPr>
        <w:t xml:space="preserve">. </w:t>
      </w:r>
    </w:p>
    <w:p w:rsidR="00C5724E" w:rsidRDefault="00C5724E" w:rsidP="00F84BE8">
      <w:pPr>
        <w:pStyle w:val="ListParagraph"/>
        <w:numPr>
          <w:ilvl w:val="1"/>
          <w:numId w:val="2"/>
        </w:numPr>
        <w:spacing w:after="240" w:line="360" w:lineRule="auto"/>
        <w:jc w:val="both"/>
        <w:rPr>
          <w:rFonts w:ascii="Arial" w:hAnsi="Arial" w:cs="Arial"/>
        </w:rPr>
      </w:pPr>
      <w:r w:rsidRPr="00C5724E">
        <w:rPr>
          <w:rFonts w:ascii="Arial" w:hAnsi="Arial" w:cs="Arial"/>
        </w:rPr>
        <w:t xml:space="preserve">Insofar as management employees are concerned, no retrenchments will be effected as a consequence of the implementation of the </w:t>
      </w:r>
      <w:r>
        <w:rPr>
          <w:rFonts w:ascii="Arial" w:hAnsi="Arial" w:cs="Arial"/>
        </w:rPr>
        <w:t>p</w:t>
      </w:r>
      <w:r w:rsidRPr="00C5724E">
        <w:rPr>
          <w:rFonts w:ascii="Arial" w:hAnsi="Arial" w:cs="Arial"/>
        </w:rPr>
        <w:t xml:space="preserve">roposed </w:t>
      </w:r>
      <w:r>
        <w:rPr>
          <w:rFonts w:ascii="Arial" w:hAnsi="Arial" w:cs="Arial"/>
        </w:rPr>
        <w:t>m</w:t>
      </w:r>
      <w:r w:rsidRPr="00C5724E">
        <w:rPr>
          <w:rFonts w:ascii="Arial" w:hAnsi="Arial" w:cs="Arial"/>
        </w:rPr>
        <w:t xml:space="preserve">erger for a period of </w:t>
      </w:r>
      <w:r w:rsidRPr="00D17D7B">
        <w:rPr>
          <w:rFonts w:ascii="Arial" w:hAnsi="Arial" w:cs="Arial"/>
          <w:u w:val="single"/>
        </w:rPr>
        <w:t>two</w:t>
      </w:r>
      <w:r w:rsidRPr="00C5724E">
        <w:rPr>
          <w:rFonts w:ascii="Arial" w:hAnsi="Arial" w:cs="Arial"/>
        </w:rPr>
        <w:t xml:space="preserve"> years from the </w:t>
      </w:r>
      <w:r>
        <w:rPr>
          <w:rFonts w:ascii="Arial" w:hAnsi="Arial" w:cs="Arial"/>
        </w:rPr>
        <w:t>a</w:t>
      </w:r>
      <w:r w:rsidRPr="00C5724E">
        <w:rPr>
          <w:rFonts w:ascii="Arial" w:hAnsi="Arial" w:cs="Arial"/>
        </w:rPr>
        <w:t xml:space="preserve">pproval </w:t>
      </w:r>
      <w:r>
        <w:rPr>
          <w:rFonts w:ascii="Arial" w:hAnsi="Arial" w:cs="Arial"/>
        </w:rPr>
        <w:t>d</w:t>
      </w:r>
      <w:r w:rsidRPr="00C5724E">
        <w:rPr>
          <w:rFonts w:ascii="Arial" w:hAnsi="Arial" w:cs="Arial"/>
        </w:rPr>
        <w:t>ate</w:t>
      </w:r>
      <w:r>
        <w:rPr>
          <w:rFonts w:ascii="Arial" w:hAnsi="Arial" w:cs="Arial"/>
        </w:rPr>
        <w:t xml:space="preserve"> of the merger</w:t>
      </w:r>
      <w:r w:rsidRPr="00C5724E">
        <w:rPr>
          <w:rFonts w:ascii="Arial" w:hAnsi="Arial" w:cs="Arial"/>
        </w:rPr>
        <w:t>.</w:t>
      </w:r>
      <w:r w:rsidR="00316304">
        <w:rPr>
          <w:rStyle w:val="FootnoteReference"/>
          <w:rFonts w:ascii="Arial" w:hAnsi="Arial" w:cs="Arial"/>
        </w:rPr>
        <w:footnoteReference w:id="205"/>
      </w:r>
      <w:r w:rsidRPr="00C5724E">
        <w:rPr>
          <w:rFonts w:ascii="Arial" w:hAnsi="Arial" w:cs="Arial"/>
        </w:rPr>
        <w:t xml:space="preserve"> </w:t>
      </w:r>
    </w:p>
    <w:p w:rsidR="007E341C" w:rsidRPr="007E341C" w:rsidRDefault="007E341C" w:rsidP="007E341C">
      <w:pPr>
        <w:pStyle w:val="ListParagraph"/>
        <w:spacing w:after="240" w:line="360" w:lineRule="auto"/>
        <w:ind w:left="0"/>
        <w:jc w:val="both"/>
        <w:rPr>
          <w:rFonts w:ascii="Arial" w:hAnsi="Arial" w:cs="Arial"/>
          <w:b/>
        </w:rPr>
      </w:pPr>
      <w:r w:rsidRPr="007E341C">
        <w:rPr>
          <w:rFonts w:ascii="Arial" w:hAnsi="Arial" w:cs="Arial"/>
          <w:b/>
        </w:rPr>
        <w:t>CONCLUSION</w:t>
      </w:r>
    </w:p>
    <w:p w:rsidR="007E341C" w:rsidRPr="005D76DA" w:rsidRDefault="007E341C" w:rsidP="00C5724E">
      <w:pPr>
        <w:pStyle w:val="ListParagraph"/>
        <w:numPr>
          <w:ilvl w:val="0"/>
          <w:numId w:val="2"/>
        </w:numPr>
        <w:spacing w:after="240" w:line="360" w:lineRule="auto"/>
        <w:ind w:left="0" w:firstLine="0"/>
        <w:jc w:val="both"/>
        <w:rPr>
          <w:rFonts w:ascii="Arial" w:hAnsi="Arial" w:cs="Arial"/>
        </w:rPr>
      </w:pPr>
      <w:r w:rsidRPr="005D76DA">
        <w:rPr>
          <w:rFonts w:ascii="Arial" w:hAnsi="Arial" w:cs="Arial"/>
        </w:rPr>
        <w:t>We approve the proposed merger subject to the above-mentioned pricing remedy with regard</w:t>
      </w:r>
      <w:r w:rsidR="00316304" w:rsidRPr="005D76DA">
        <w:rPr>
          <w:rFonts w:ascii="Arial" w:hAnsi="Arial" w:cs="Arial"/>
        </w:rPr>
        <w:t>s</w:t>
      </w:r>
      <w:r w:rsidRPr="005D76DA">
        <w:rPr>
          <w:rFonts w:ascii="Arial" w:hAnsi="Arial" w:cs="Arial"/>
        </w:rPr>
        <w:t xml:space="preserve"> to mining UPR, the divestiture remedy (that relates to both mining UPR and UPRs in general) and the employment remedy.</w:t>
      </w:r>
      <w:r w:rsidR="005D76DA" w:rsidRPr="005D76DA">
        <w:rPr>
          <w:rFonts w:ascii="Arial" w:hAnsi="Arial" w:cs="Arial"/>
        </w:rPr>
        <w:t xml:space="preserve"> “</w:t>
      </w:r>
      <w:r w:rsidR="005D76DA" w:rsidRPr="005D76DA">
        <w:rPr>
          <w:rFonts w:ascii="Arial" w:hAnsi="Arial" w:cs="Arial"/>
          <w:b/>
        </w:rPr>
        <w:t>Annexure A</w:t>
      </w:r>
      <w:r w:rsidR="005D76DA" w:rsidRPr="005D76DA">
        <w:rPr>
          <w:rFonts w:ascii="Arial" w:hAnsi="Arial" w:cs="Arial"/>
        </w:rPr>
        <w:t xml:space="preserve">” to our order </w:t>
      </w:r>
      <w:r w:rsidR="005D76DA">
        <w:rPr>
          <w:rFonts w:ascii="Arial" w:hAnsi="Arial" w:cs="Arial"/>
        </w:rPr>
        <w:t>of 04 August</w:t>
      </w:r>
      <w:r w:rsidR="005D76DA">
        <w:rPr>
          <w:rFonts w:ascii="Arial" w:hAnsi="Arial" w:cs="Arial"/>
          <w:lang w:val="en-ZA"/>
        </w:rPr>
        <w:t xml:space="preserve"> </w:t>
      </w:r>
      <w:r w:rsidR="005D76DA">
        <w:rPr>
          <w:rFonts w:ascii="Arial" w:hAnsi="Arial" w:cs="Arial"/>
          <w:lang w:val="en-ZA"/>
        </w:rPr>
        <w:lastRenderedPageBreak/>
        <w:t xml:space="preserve">2014 </w:t>
      </w:r>
      <w:r w:rsidR="005D76DA" w:rsidRPr="005D76DA">
        <w:rPr>
          <w:rFonts w:ascii="Arial" w:hAnsi="Arial" w:cs="Arial"/>
        </w:rPr>
        <w:t>contains the merger conditions</w:t>
      </w:r>
      <w:r w:rsidR="005D76DA">
        <w:rPr>
          <w:rFonts w:ascii="Arial" w:hAnsi="Arial" w:cs="Arial"/>
        </w:rPr>
        <w:t xml:space="preserve"> that we have imposed</w:t>
      </w:r>
      <w:r w:rsidR="005D76DA" w:rsidRPr="005D76DA">
        <w:rPr>
          <w:rFonts w:ascii="Arial" w:hAnsi="Arial" w:cs="Arial"/>
        </w:rPr>
        <w:t>; “</w:t>
      </w:r>
      <w:r w:rsidR="005D76DA" w:rsidRPr="005D76DA">
        <w:rPr>
          <w:rFonts w:ascii="Arial" w:hAnsi="Arial" w:cs="Arial"/>
          <w:b/>
        </w:rPr>
        <w:t>Annexure B</w:t>
      </w:r>
      <w:r w:rsidR="005D76DA" w:rsidRPr="005D76DA">
        <w:rPr>
          <w:rFonts w:ascii="Arial" w:hAnsi="Arial" w:cs="Arial"/>
        </w:rPr>
        <w:t>” the Arkema SA intangible assets to be divested to a</w:t>
      </w:r>
      <w:r w:rsidR="00D17D7B">
        <w:rPr>
          <w:rFonts w:ascii="Arial" w:hAnsi="Arial" w:cs="Arial"/>
        </w:rPr>
        <w:t>n independ</w:t>
      </w:r>
      <w:r w:rsidR="006E6521">
        <w:rPr>
          <w:rFonts w:ascii="Arial" w:hAnsi="Arial" w:cs="Arial"/>
        </w:rPr>
        <w:t>e</w:t>
      </w:r>
      <w:r w:rsidR="00D17D7B">
        <w:rPr>
          <w:rFonts w:ascii="Arial" w:hAnsi="Arial" w:cs="Arial"/>
        </w:rPr>
        <w:t xml:space="preserve">nt </w:t>
      </w:r>
      <w:r w:rsidR="005D76DA" w:rsidRPr="005D76DA">
        <w:rPr>
          <w:rFonts w:ascii="Arial" w:hAnsi="Arial" w:cs="Arial"/>
        </w:rPr>
        <w:t>third party; “</w:t>
      </w:r>
      <w:r w:rsidR="005D76DA" w:rsidRPr="005D76DA">
        <w:rPr>
          <w:rFonts w:ascii="Arial" w:hAnsi="Arial" w:cs="Arial"/>
          <w:b/>
        </w:rPr>
        <w:t>Annexure C</w:t>
      </w:r>
      <w:r w:rsidR="005D76DA" w:rsidRPr="005D76DA">
        <w:rPr>
          <w:rFonts w:ascii="Arial" w:hAnsi="Arial" w:cs="Arial"/>
        </w:rPr>
        <w:t xml:space="preserve">” the </w:t>
      </w:r>
      <w:r w:rsidR="005D76DA">
        <w:rPr>
          <w:rFonts w:ascii="Arial" w:hAnsi="Arial" w:cs="Arial"/>
        </w:rPr>
        <w:t xml:space="preserve">two-year </w:t>
      </w:r>
      <w:r w:rsidR="005D76DA" w:rsidRPr="005D76DA">
        <w:rPr>
          <w:rFonts w:ascii="Arial" w:hAnsi="Arial" w:cs="Arial"/>
        </w:rPr>
        <w:t xml:space="preserve">pricing formula for mining UPR and </w:t>
      </w:r>
      <w:r w:rsidR="005D76DA">
        <w:rPr>
          <w:rFonts w:ascii="Arial" w:hAnsi="Arial" w:cs="Arial"/>
        </w:rPr>
        <w:t xml:space="preserve">its </w:t>
      </w:r>
      <w:r w:rsidR="005D76DA" w:rsidRPr="005D76DA">
        <w:rPr>
          <w:rFonts w:ascii="Arial" w:hAnsi="Arial" w:cs="Arial"/>
        </w:rPr>
        <w:t>application; and “</w:t>
      </w:r>
      <w:r w:rsidR="005D76DA" w:rsidRPr="005D76DA">
        <w:rPr>
          <w:rFonts w:ascii="Arial" w:hAnsi="Arial" w:cs="Arial"/>
          <w:b/>
        </w:rPr>
        <w:t>Annexure D</w:t>
      </w:r>
      <w:r w:rsidR="005D76DA" w:rsidRPr="005D76DA">
        <w:rPr>
          <w:rFonts w:ascii="Arial" w:hAnsi="Arial" w:cs="Arial"/>
        </w:rPr>
        <w:t xml:space="preserve">” the trustee’s mandate </w:t>
      </w:r>
      <w:r w:rsidR="002E586B">
        <w:rPr>
          <w:rFonts w:ascii="Arial" w:hAnsi="Arial" w:cs="Arial"/>
        </w:rPr>
        <w:t>relating to</w:t>
      </w:r>
      <w:r w:rsidR="005D76DA" w:rsidRPr="005D76DA">
        <w:rPr>
          <w:rFonts w:ascii="Arial" w:hAnsi="Arial" w:cs="Arial"/>
        </w:rPr>
        <w:t xml:space="preserve"> the divestiture</w:t>
      </w:r>
      <w:r w:rsidR="005D76DA">
        <w:rPr>
          <w:rFonts w:ascii="Arial" w:hAnsi="Arial" w:cs="Arial"/>
        </w:rPr>
        <w:t xml:space="preserve"> of the </w:t>
      </w:r>
      <w:r w:rsidR="005D76DA" w:rsidRPr="005D76DA">
        <w:rPr>
          <w:rFonts w:ascii="Arial" w:hAnsi="Arial" w:cs="Arial"/>
        </w:rPr>
        <w:t>Arkema SA intangible assets.</w:t>
      </w:r>
    </w:p>
    <w:p w:rsidR="005124D1" w:rsidRDefault="005124D1" w:rsidP="005124D1">
      <w:pPr>
        <w:ind w:right="-188"/>
        <w:rPr>
          <w:rFonts w:ascii="Arial" w:hAnsi="Arial" w:cs="Arial"/>
        </w:rPr>
      </w:pPr>
    </w:p>
    <w:p w:rsidR="00D70F65" w:rsidRPr="00E80B5D" w:rsidRDefault="00D70F65" w:rsidP="005124D1">
      <w:pPr>
        <w:ind w:right="-188"/>
        <w:rPr>
          <w:rFonts w:ascii="Arial" w:hAnsi="Arial" w:cs="Arial"/>
        </w:rPr>
      </w:pPr>
    </w:p>
    <w:p w:rsidR="005124D1" w:rsidRPr="00E80B5D" w:rsidRDefault="005124D1" w:rsidP="005124D1">
      <w:pPr>
        <w:ind w:right="-188"/>
        <w:rPr>
          <w:rFonts w:ascii="Arial" w:hAnsi="Arial" w:cs="Arial"/>
        </w:rPr>
      </w:pPr>
    </w:p>
    <w:p w:rsidR="005124D1" w:rsidRPr="00E80B5D" w:rsidRDefault="005124D1" w:rsidP="005124D1">
      <w:pPr>
        <w:ind w:right="-188"/>
        <w:rPr>
          <w:rFonts w:ascii="Arial" w:hAnsi="Arial" w:cs="Arial"/>
          <w:u w:val="single"/>
          <w:lang w:val="en-ZA"/>
        </w:rPr>
      </w:pPr>
      <w:r w:rsidRPr="00E80B5D">
        <w:rPr>
          <w:rFonts w:ascii="Arial" w:hAnsi="Arial" w:cs="Arial"/>
        </w:rPr>
        <w:t>______________________</w:t>
      </w:r>
      <w:r w:rsidRPr="00E80B5D">
        <w:rPr>
          <w:rFonts w:ascii="Arial" w:hAnsi="Arial" w:cs="Arial"/>
        </w:rPr>
        <w:tab/>
      </w:r>
      <w:r w:rsidRPr="00E80B5D">
        <w:rPr>
          <w:rFonts w:ascii="Arial" w:hAnsi="Arial" w:cs="Arial"/>
        </w:rPr>
        <w:tab/>
      </w:r>
      <w:r w:rsidRPr="00E80B5D">
        <w:rPr>
          <w:rFonts w:ascii="Arial" w:hAnsi="Arial" w:cs="Arial"/>
        </w:rPr>
        <w:tab/>
      </w:r>
      <w:r w:rsidR="00D005A0">
        <w:rPr>
          <w:rFonts w:ascii="Arial" w:hAnsi="Arial" w:cs="Arial"/>
        </w:rPr>
        <w:tab/>
      </w:r>
      <w:r w:rsidR="00361B8D" w:rsidRPr="00361B8D">
        <w:rPr>
          <w:rFonts w:ascii="Arial" w:hAnsi="Arial" w:cs="Arial"/>
          <w:u w:val="single"/>
        </w:rPr>
        <w:t>2</w:t>
      </w:r>
      <w:r w:rsidR="003C0D6D">
        <w:rPr>
          <w:rFonts w:ascii="Arial" w:hAnsi="Arial" w:cs="Arial"/>
          <w:u w:val="single"/>
        </w:rPr>
        <w:t>5</w:t>
      </w:r>
      <w:r w:rsidR="00C81BA0" w:rsidRPr="00361B8D">
        <w:rPr>
          <w:rFonts w:ascii="Arial" w:hAnsi="Arial" w:cs="Arial"/>
          <w:u w:val="single"/>
        </w:rPr>
        <w:t xml:space="preserve"> </w:t>
      </w:r>
      <w:r w:rsidR="002863F0" w:rsidRPr="00361B8D">
        <w:rPr>
          <w:rFonts w:ascii="Arial" w:hAnsi="Arial" w:cs="Arial"/>
          <w:u w:val="single"/>
        </w:rPr>
        <w:t>September</w:t>
      </w:r>
      <w:r w:rsidRPr="00C81BA0">
        <w:rPr>
          <w:rFonts w:ascii="Arial" w:hAnsi="Arial" w:cs="Arial"/>
          <w:u w:val="single"/>
          <w:lang w:val="en-ZA"/>
        </w:rPr>
        <w:t xml:space="preserve"> 2014</w:t>
      </w:r>
    </w:p>
    <w:p w:rsidR="005124D1" w:rsidRPr="00E80B5D" w:rsidRDefault="00282911" w:rsidP="005124D1">
      <w:pPr>
        <w:ind w:right="-188"/>
        <w:rPr>
          <w:rFonts w:ascii="Arial" w:hAnsi="Arial" w:cs="Arial"/>
          <w:lang w:val="en-ZA"/>
        </w:rPr>
      </w:pPr>
      <w:sdt>
        <w:sdtPr>
          <w:rPr>
            <w:rFonts w:ascii="Arial" w:hAnsi="Arial" w:cs="Arial"/>
            <w:b/>
          </w:rPr>
          <w:id w:val="98262691"/>
          <w:text/>
        </w:sdtPr>
        <w:sdtContent>
          <w:r w:rsidR="005124D1" w:rsidRPr="00E80B5D">
            <w:rPr>
              <w:rFonts w:ascii="Arial" w:hAnsi="Arial" w:cs="Arial"/>
              <w:b/>
              <w:lang w:val="en-ZA"/>
            </w:rPr>
            <w:t xml:space="preserve">ANDREAS WESSELS </w:t>
          </w:r>
        </w:sdtContent>
      </w:sdt>
      <w:r w:rsidR="005124D1" w:rsidRPr="00E80B5D">
        <w:rPr>
          <w:rFonts w:ascii="Arial" w:hAnsi="Arial" w:cs="Arial"/>
        </w:rPr>
        <w:tab/>
      </w:r>
      <w:r w:rsidR="005124D1" w:rsidRPr="00E80B5D">
        <w:rPr>
          <w:rFonts w:ascii="Arial" w:hAnsi="Arial" w:cs="Arial"/>
        </w:rPr>
        <w:tab/>
      </w:r>
      <w:r w:rsidR="005124D1" w:rsidRPr="00E80B5D">
        <w:rPr>
          <w:rFonts w:ascii="Arial" w:hAnsi="Arial" w:cs="Arial"/>
        </w:rPr>
        <w:tab/>
      </w:r>
      <w:r w:rsidR="005124D1" w:rsidRPr="00E80B5D">
        <w:rPr>
          <w:rFonts w:ascii="Arial" w:hAnsi="Arial" w:cs="Arial"/>
        </w:rPr>
        <w:tab/>
      </w:r>
      <w:r w:rsidR="00D005A0">
        <w:rPr>
          <w:rFonts w:ascii="Arial" w:hAnsi="Arial" w:cs="Arial"/>
        </w:rPr>
        <w:tab/>
      </w:r>
      <w:r w:rsidR="005124D1" w:rsidRPr="00E80B5D">
        <w:rPr>
          <w:rFonts w:ascii="Arial" w:hAnsi="Arial" w:cs="Arial"/>
          <w:b/>
          <w:lang w:val="en-ZA"/>
        </w:rPr>
        <w:t xml:space="preserve">DATE </w:t>
      </w:r>
    </w:p>
    <w:p w:rsidR="005124D1" w:rsidRPr="00E80B5D" w:rsidRDefault="005124D1" w:rsidP="005124D1">
      <w:pPr>
        <w:ind w:right="-188"/>
        <w:rPr>
          <w:rFonts w:ascii="Arial" w:hAnsi="Arial" w:cs="Arial"/>
          <w:b/>
          <w:lang w:val="en-ZA"/>
        </w:rPr>
      </w:pPr>
    </w:p>
    <w:p w:rsidR="005124D1" w:rsidRDefault="00A1365A" w:rsidP="005124D1">
      <w:pPr>
        <w:ind w:right="-188"/>
        <w:rPr>
          <w:rFonts w:ascii="Arial" w:hAnsi="Arial" w:cs="Arial"/>
          <w:b/>
          <w:lang w:val="en-ZA"/>
        </w:rPr>
      </w:pPr>
      <w:r>
        <w:rPr>
          <w:rFonts w:ascii="Arial" w:hAnsi="Arial" w:cs="Arial"/>
          <w:b/>
          <w:lang w:val="en-ZA"/>
        </w:rPr>
        <w:t>MONDO</w:t>
      </w:r>
      <w:r w:rsidR="00C81BA0">
        <w:rPr>
          <w:rFonts w:ascii="Arial" w:hAnsi="Arial" w:cs="Arial"/>
          <w:b/>
          <w:lang w:val="en-ZA"/>
        </w:rPr>
        <w:t xml:space="preserve"> </w:t>
      </w:r>
      <w:r w:rsidR="00D078EF">
        <w:rPr>
          <w:rFonts w:ascii="Arial" w:hAnsi="Arial" w:cs="Arial"/>
          <w:b/>
          <w:lang w:val="en-ZA"/>
        </w:rPr>
        <w:t>MAZWAI</w:t>
      </w:r>
      <w:r w:rsidR="00661EAE">
        <w:rPr>
          <w:rFonts w:ascii="Arial" w:hAnsi="Arial" w:cs="Arial"/>
          <w:b/>
          <w:lang w:val="en-ZA"/>
        </w:rPr>
        <w:t xml:space="preserve"> </w:t>
      </w:r>
      <w:r w:rsidR="00D70F65">
        <w:rPr>
          <w:rFonts w:ascii="Arial" w:hAnsi="Arial" w:cs="Arial"/>
          <w:b/>
          <w:lang w:val="en-ZA"/>
        </w:rPr>
        <w:t>and</w:t>
      </w:r>
      <w:r w:rsidR="005124D1" w:rsidRPr="00E80B5D">
        <w:rPr>
          <w:rFonts w:ascii="Arial" w:hAnsi="Arial" w:cs="Arial"/>
          <w:b/>
          <w:lang w:val="en-ZA"/>
        </w:rPr>
        <w:t xml:space="preserve"> </w:t>
      </w:r>
      <w:r>
        <w:rPr>
          <w:rFonts w:ascii="Arial" w:hAnsi="Arial" w:cs="Arial"/>
          <w:b/>
          <w:lang w:val="en-ZA"/>
        </w:rPr>
        <w:t>MEDI</w:t>
      </w:r>
      <w:r w:rsidR="00C81BA0">
        <w:rPr>
          <w:rFonts w:ascii="Arial" w:hAnsi="Arial" w:cs="Arial"/>
          <w:b/>
          <w:lang w:val="en-ZA"/>
        </w:rPr>
        <w:t xml:space="preserve"> </w:t>
      </w:r>
      <w:r w:rsidR="00D70F65">
        <w:rPr>
          <w:rFonts w:ascii="Arial" w:hAnsi="Arial" w:cs="Arial"/>
          <w:b/>
          <w:lang w:val="en-ZA"/>
        </w:rPr>
        <w:t>MOKUENA</w:t>
      </w:r>
      <w:r w:rsidR="005124D1" w:rsidRPr="00E80B5D">
        <w:rPr>
          <w:rFonts w:ascii="Arial" w:hAnsi="Arial" w:cs="Arial"/>
          <w:b/>
          <w:lang w:val="en-ZA"/>
        </w:rPr>
        <w:t xml:space="preserve"> concurring</w:t>
      </w:r>
    </w:p>
    <w:p w:rsidR="008A20AE" w:rsidRPr="00E80B5D" w:rsidRDefault="008A20AE" w:rsidP="005124D1">
      <w:pPr>
        <w:ind w:right="-188"/>
        <w:rPr>
          <w:rFonts w:ascii="Arial" w:hAnsi="Arial" w:cs="Arial"/>
          <w:b/>
          <w:lang w:val="en-ZA"/>
        </w:rPr>
      </w:pPr>
    </w:p>
    <w:p w:rsidR="005124D1" w:rsidRDefault="005124D1" w:rsidP="005124D1">
      <w:pPr>
        <w:pStyle w:val="Heading4"/>
        <w:spacing w:line="360" w:lineRule="auto"/>
        <w:ind w:right="-188"/>
        <w:rPr>
          <w:rFonts w:ascii="Arial" w:hAnsi="Arial" w:cs="Arial"/>
          <w:b w:val="0"/>
          <w:i w:val="0"/>
          <w:color w:val="auto"/>
        </w:rPr>
      </w:pPr>
      <w:r>
        <w:rPr>
          <w:rFonts w:ascii="Arial" w:hAnsi="Arial" w:cs="Arial"/>
          <w:b w:val="0"/>
          <w:bCs w:val="0"/>
          <w:i w:val="0"/>
          <w:color w:val="auto"/>
        </w:rPr>
        <w:t>Tribunal r</w:t>
      </w:r>
      <w:r w:rsidRPr="00EE147D">
        <w:rPr>
          <w:rFonts w:ascii="Arial" w:hAnsi="Arial" w:cs="Arial"/>
          <w:b w:val="0"/>
          <w:bCs w:val="0"/>
          <w:i w:val="0"/>
          <w:color w:val="auto"/>
        </w:rPr>
        <w:t>esearcher</w:t>
      </w:r>
      <w:r w:rsidR="00FB2EBF">
        <w:rPr>
          <w:rFonts w:ascii="Arial" w:hAnsi="Arial" w:cs="Arial"/>
          <w:b w:val="0"/>
          <w:bCs w:val="0"/>
          <w:i w:val="0"/>
          <w:color w:val="auto"/>
        </w:rPr>
        <w:t>(</w:t>
      </w:r>
      <w:r w:rsidR="005B7176">
        <w:rPr>
          <w:rFonts w:ascii="Arial" w:hAnsi="Arial" w:cs="Arial"/>
          <w:b w:val="0"/>
          <w:bCs w:val="0"/>
          <w:i w:val="0"/>
          <w:color w:val="auto"/>
        </w:rPr>
        <w:t>s</w:t>
      </w:r>
      <w:r w:rsidR="00FB2EBF">
        <w:rPr>
          <w:rFonts w:ascii="Arial" w:hAnsi="Arial" w:cs="Arial"/>
          <w:b w:val="0"/>
          <w:bCs w:val="0"/>
          <w:i w:val="0"/>
          <w:color w:val="auto"/>
        </w:rPr>
        <w:t>)</w:t>
      </w:r>
      <w:r w:rsidRPr="00EE147D">
        <w:rPr>
          <w:rFonts w:ascii="Arial" w:hAnsi="Arial" w:cs="Arial"/>
          <w:b w:val="0"/>
          <w:bCs w:val="0"/>
          <w:i w:val="0"/>
          <w:color w:val="auto"/>
        </w:rPr>
        <w:t>:</w:t>
      </w:r>
      <w:r w:rsidRPr="00EE147D">
        <w:rPr>
          <w:rFonts w:ascii="Arial" w:hAnsi="Arial" w:cs="Arial"/>
          <w:i w:val="0"/>
          <w:color w:val="auto"/>
        </w:rPr>
        <w:tab/>
      </w:r>
      <w:r w:rsidR="00241F8B">
        <w:rPr>
          <w:rFonts w:ascii="Arial" w:hAnsi="Arial" w:cs="Arial"/>
          <w:b w:val="0"/>
          <w:i w:val="0"/>
          <w:color w:val="auto"/>
        </w:rPr>
        <w:t xml:space="preserve">Shannon </w:t>
      </w:r>
      <w:r w:rsidR="00DD5A06">
        <w:rPr>
          <w:rFonts w:ascii="Arial" w:hAnsi="Arial" w:cs="Arial"/>
          <w:b w:val="0"/>
          <w:i w:val="0"/>
          <w:color w:val="auto"/>
        </w:rPr>
        <w:t>Quinn</w:t>
      </w:r>
      <w:r w:rsidR="005B7176">
        <w:rPr>
          <w:rFonts w:ascii="Arial" w:hAnsi="Arial" w:cs="Arial"/>
          <w:b w:val="0"/>
          <w:i w:val="0"/>
          <w:color w:val="auto"/>
        </w:rPr>
        <w:t xml:space="preserve"> and Ipeleng Selaledi</w:t>
      </w:r>
    </w:p>
    <w:p w:rsidR="005124D1" w:rsidRDefault="005124D1" w:rsidP="005124D1">
      <w:pPr>
        <w:pStyle w:val="Heading4"/>
        <w:spacing w:line="360" w:lineRule="auto"/>
        <w:ind w:right="-188"/>
        <w:rPr>
          <w:rFonts w:ascii="Arial" w:hAnsi="Arial" w:cs="Arial"/>
          <w:b w:val="0"/>
          <w:i w:val="0"/>
          <w:color w:val="auto"/>
        </w:rPr>
      </w:pPr>
      <w:r>
        <w:rPr>
          <w:rFonts w:ascii="Arial" w:hAnsi="Arial" w:cs="Arial"/>
          <w:b w:val="0"/>
          <w:i w:val="0"/>
          <w:color w:val="auto"/>
        </w:rPr>
        <w:t xml:space="preserve">For the Commission: </w:t>
      </w:r>
      <w:r>
        <w:rPr>
          <w:rFonts w:ascii="Arial" w:hAnsi="Arial" w:cs="Arial"/>
          <w:b w:val="0"/>
          <w:i w:val="0"/>
          <w:color w:val="auto"/>
        </w:rPr>
        <w:tab/>
        <w:t xml:space="preserve"> </w:t>
      </w:r>
      <w:r w:rsidR="005E5026">
        <w:rPr>
          <w:rFonts w:ascii="Arial" w:hAnsi="Arial" w:cs="Arial"/>
          <w:b w:val="0"/>
          <w:i w:val="0"/>
          <w:color w:val="auto"/>
        </w:rPr>
        <w:t>M Du P Van Der Nest SC</w:t>
      </w:r>
      <w:r w:rsidR="003C0D6D">
        <w:rPr>
          <w:rFonts w:ascii="Arial" w:hAnsi="Arial" w:cs="Arial"/>
          <w:b w:val="0"/>
          <w:i w:val="0"/>
          <w:color w:val="auto"/>
        </w:rPr>
        <w:t xml:space="preserve"> </w:t>
      </w:r>
    </w:p>
    <w:p w:rsidR="000963B4" w:rsidRDefault="005124D1" w:rsidP="00BB41C0">
      <w:pPr>
        <w:pStyle w:val="Heading4"/>
        <w:spacing w:line="360" w:lineRule="auto"/>
        <w:ind w:left="2880" w:right="-188" w:hanging="2880"/>
      </w:pPr>
      <w:r w:rsidRPr="00EE147D">
        <w:rPr>
          <w:rFonts w:ascii="Arial" w:hAnsi="Arial" w:cs="Arial"/>
          <w:b w:val="0"/>
          <w:i w:val="0"/>
          <w:color w:val="auto"/>
        </w:rPr>
        <w:t>For</w:t>
      </w:r>
      <w:r>
        <w:rPr>
          <w:rFonts w:ascii="Arial" w:hAnsi="Arial" w:cs="Arial"/>
          <w:b w:val="0"/>
          <w:i w:val="0"/>
          <w:color w:val="auto"/>
        </w:rPr>
        <w:t xml:space="preserve"> </w:t>
      </w:r>
      <w:r w:rsidR="005B7176">
        <w:rPr>
          <w:rFonts w:ascii="Arial" w:hAnsi="Arial" w:cs="Arial"/>
          <w:b w:val="0"/>
          <w:i w:val="0"/>
          <w:color w:val="auto"/>
        </w:rPr>
        <w:t>the merging parties</w:t>
      </w:r>
      <w:r>
        <w:rPr>
          <w:rFonts w:ascii="Arial" w:hAnsi="Arial" w:cs="Arial"/>
          <w:b w:val="0"/>
          <w:i w:val="0"/>
          <w:color w:val="auto"/>
        </w:rPr>
        <w:t xml:space="preserve">: </w:t>
      </w:r>
      <w:r>
        <w:rPr>
          <w:rFonts w:ascii="Arial" w:hAnsi="Arial" w:cs="Arial"/>
          <w:b w:val="0"/>
          <w:i w:val="0"/>
          <w:color w:val="auto"/>
        </w:rPr>
        <w:tab/>
      </w:r>
      <w:r w:rsidR="005B7176">
        <w:rPr>
          <w:rFonts w:ascii="Arial" w:hAnsi="Arial" w:cs="Arial"/>
          <w:b w:val="0"/>
          <w:i w:val="0"/>
          <w:color w:val="auto"/>
        </w:rPr>
        <w:t>A Gotz</w:t>
      </w:r>
      <w:r w:rsidR="00620B94">
        <w:rPr>
          <w:rFonts w:ascii="Arial" w:hAnsi="Arial" w:cs="Arial"/>
          <w:b w:val="0"/>
          <w:i w:val="0"/>
          <w:color w:val="auto"/>
        </w:rPr>
        <w:t xml:space="preserve">, J </w:t>
      </w:r>
      <w:r w:rsidR="004E63A2">
        <w:rPr>
          <w:rFonts w:ascii="Arial" w:hAnsi="Arial" w:cs="Arial"/>
          <w:b w:val="0"/>
          <w:i w:val="0"/>
          <w:color w:val="auto"/>
        </w:rPr>
        <w:t>Wilson and</w:t>
      </w:r>
      <w:r w:rsidR="00C81BA0">
        <w:rPr>
          <w:rFonts w:ascii="Arial" w:hAnsi="Arial" w:cs="Arial"/>
          <w:b w:val="0"/>
          <w:i w:val="0"/>
          <w:color w:val="auto"/>
        </w:rPr>
        <w:t xml:space="preserve"> </w:t>
      </w:r>
      <w:r w:rsidR="00620B94">
        <w:rPr>
          <w:rFonts w:ascii="Arial" w:hAnsi="Arial" w:cs="Arial"/>
          <w:b w:val="0"/>
          <w:i w:val="0"/>
          <w:color w:val="auto"/>
        </w:rPr>
        <w:t xml:space="preserve">S Pudifin-Jones </w:t>
      </w:r>
      <w:r w:rsidR="00C81BA0">
        <w:rPr>
          <w:rFonts w:ascii="Arial" w:hAnsi="Arial" w:cs="Arial"/>
          <w:b w:val="0"/>
          <w:i w:val="0"/>
          <w:color w:val="auto"/>
        </w:rPr>
        <w:t xml:space="preserve">instructed by </w:t>
      </w:r>
      <w:r w:rsidR="00620B94">
        <w:rPr>
          <w:rFonts w:ascii="Arial" w:hAnsi="Arial" w:cs="Arial"/>
          <w:b w:val="0"/>
          <w:i w:val="0"/>
          <w:color w:val="auto"/>
        </w:rPr>
        <w:t>Nortons Incorporated</w:t>
      </w:r>
    </w:p>
    <w:sectPr w:rsidR="000963B4" w:rsidSect="0032101E">
      <w:headerReference w:type="default" r:id="rId11"/>
      <w:footerReference w:type="default" r:id="rId12"/>
      <w:pgSz w:w="11906" w:h="16838"/>
      <w:pgMar w:top="1440" w:right="991"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D42" w:rsidRDefault="002B0D42" w:rsidP="005124D1">
      <w:r>
        <w:separator/>
      </w:r>
    </w:p>
  </w:endnote>
  <w:endnote w:type="continuationSeparator" w:id="0">
    <w:p w:rsidR="002B0D42" w:rsidRDefault="002B0D42" w:rsidP="005124D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184883"/>
      <w:docPartObj>
        <w:docPartGallery w:val="Page Numbers (Bottom of Page)"/>
        <w:docPartUnique/>
      </w:docPartObj>
    </w:sdtPr>
    <w:sdtContent>
      <w:p w:rsidR="00F02DA6" w:rsidRPr="00FC099B" w:rsidRDefault="00282911">
        <w:pPr>
          <w:pStyle w:val="Footer"/>
          <w:jc w:val="right"/>
          <w:rPr>
            <w:rFonts w:ascii="Arial" w:hAnsi="Arial" w:cs="Arial"/>
          </w:rPr>
        </w:pPr>
        <w:r w:rsidRPr="00FC099B">
          <w:rPr>
            <w:rFonts w:ascii="Arial" w:hAnsi="Arial" w:cs="Arial"/>
          </w:rPr>
          <w:fldChar w:fldCharType="begin"/>
        </w:r>
        <w:r w:rsidR="00F02DA6" w:rsidRPr="00FC099B">
          <w:rPr>
            <w:rFonts w:ascii="Arial" w:hAnsi="Arial" w:cs="Arial"/>
          </w:rPr>
          <w:instrText xml:space="preserve"> PAGE   \* MERGEFORMAT </w:instrText>
        </w:r>
        <w:r w:rsidRPr="00FC099B">
          <w:rPr>
            <w:rFonts w:ascii="Arial" w:hAnsi="Arial" w:cs="Arial"/>
          </w:rPr>
          <w:fldChar w:fldCharType="separate"/>
        </w:r>
        <w:r w:rsidR="00796190">
          <w:rPr>
            <w:rFonts w:ascii="Arial" w:hAnsi="Arial" w:cs="Arial"/>
            <w:noProof/>
          </w:rPr>
          <w:t>1</w:t>
        </w:r>
        <w:r w:rsidRPr="00FC099B">
          <w:rPr>
            <w:rFonts w:ascii="Arial" w:hAnsi="Arial" w:cs="Arial"/>
          </w:rPr>
          <w:fldChar w:fldCharType="end"/>
        </w:r>
      </w:p>
    </w:sdtContent>
  </w:sdt>
  <w:p w:rsidR="00F02DA6" w:rsidRPr="00FC099B" w:rsidRDefault="00F02DA6">
    <w:pPr>
      <w:pStyle w:val="Foo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D42" w:rsidRDefault="002B0D42" w:rsidP="005124D1">
      <w:r>
        <w:separator/>
      </w:r>
    </w:p>
  </w:footnote>
  <w:footnote w:type="continuationSeparator" w:id="0">
    <w:p w:rsidR="002B0D42" w:rsidRDefault="002B0D42" w:rsidP="005124D1">
      <w:r>
        <w:continuationSeparator/>
      </w:r>
    </w:p>
  </w:footnote>
  <w:footnote w:id="1">
    <w:p w:rsidR="00F02DA6" w:rsidRPr="003C5C81" w:rsidRDefault="00F02DA6">
      <w:pPr>
        <w:pStyle w:val="FootnoteText"/>
        <w:rPr>
          <w:rFonts w:ascii="Arial" w:hAnsi="Arial" w:cs="Arial"/>
          <w:lang w:val="en-ZA"/>
        </w:rPr>
      </w:pPr>
      <w:r w:rsidRPr="003C5C81">
        <w:rPr>
          <w:rStyle w:val="FootnoteReference"/>
          <w:rFonts w:ascii="Arial" w:hAnsi="Arial" w:cs="Arial"/>
        </w:rPr>
        <w:footnoteRef/>
      </w:r>
      <w:r w:rsidRPr="003C5C81">
        <w:rPr>
          <w:rFonts w:ascii="Arial" w:hAnsi="Arial" w:cs="Arial"/>
        </w:rPr>
        <w:t xml:space="preserve"> </w:t>
      </w:r>
      <w:r w:rsidRPr="009548D3">
        <w:rPr>
          <w:rFonts w:ascii="Arial" w:hAnsi="Arial" w:cs="Arial"/>
          <w:lang w:val="en-ZA"/>
        </w:rPr>
        <w:t>Act No. 89 of 1998, as amended.</w:t>
      </w:r>
    </w:p>
  </w:footnote>
  <w:footnote w:id="2">
    <w:p w:rsidR="00F02DA6" w:rsidRPr="00210A01" w:rsidRDefault="00F02DA6" w:rsidP="00210A01">
      <w:pPr>
        <w:pStyle w:val="NoSpacing"/>
        <w:rPr>
          <w:rFonts w:ascii="Arial" w:hAnsi="Arial" w:cs="Arial"/>
          <w:sz w:val="20"/>
          <w:szCs w:val="20"/>
        </w:rPr>
      </w:pPr>
      <w:r w:rsidRPr="00210A01">
        <w:rPr>
          <w:rStyle w:val="FootnoteReference"/>
          <w:rFonts w:ascii="Arial" w:hAnsi="Arial" w:cs="Arial"/>
          <w:sz w:val="20"/>
          <w:szCs w:val="20"/>
        </w:rPr>
        <w:footnoteRef/>
      </w:r>
      <w:r w:rsidRPr="00210A01">
        <w:rPr>
          <w:rFonts w:ascii="Arial" w:hAnsi="Arial" w:cs="Arial"/>
          <w:sz w:val="20"/>
          <w:szCs w:val="20"/>
        </w:rPr>
        <w:t xml:space="preserve"> </w:t>
      </w:r>
      <w:r w:rsidRPr="009548D3">
        <w:rPr>
          <w:rFonts w:ascii="Arial" w:hAnsi="Arial" w:cs="Arial"/>
          <w:sz w:val="20"/>
          <w:szCs w:val="20"/>
        </w:rPr>
        <w:t>Arkema Afrique SAS is a global manufacturer of chemicals and chemical products which operates under three business segments, namely: industrial chemicals; performance products; and coating solutions.</w:t>
      </w:r>
    </w:p>
  </w:footnote>
  <w:footnote w:id="3">
    <w:p w:rsidR="00F02DA6" w:rsidRPr="009548D3" w:rsidRDefault="00F02DA6" w:rsidP="001F16B3">
      <w:pPr>
        <w:pStyle w:val="FootnoteText"/>
        <w:rPr>
          <w:rFonts w:ascii="Arial" w:hAnsi="Arial" w:cs="Arial"/>
          <w:lang w:val="en-ZA"/>
        </w:rPr>
      </w:pPr>
      <w:r w:rsidRPr="00A2403A">
        <w:rPr>
          <w:rStyle w:val="FootnoteReference"/>
          <w:rFonts w:ascii="Arial" w:hAnsi="Arial" w:cs="Arial"/>
        </w:rPr>
        <w:footnoteRef/>
      </w:r>
      <w:r w:rsidRPr="00A2403A">
        <w:rPr>
          <w:rFonts w:ascii="Arial" w:hAnsi="Arial" w:cs="Arial"/>
        </w:rPr>
        <w:t xml:space="preserve"> </w:t>
      </w:r>
      <w:r w:rsidRPr="009548D3">
        <w:rPr>
          <w:rFonts w:ascii="Arial" w:hAnsi="Arial" w:cs="Arial"/>
          <w:lang w:val="en-US"/>
        </w:rPr>
        <w:t>Leveugle’s witness</w:t>
      </w:r>
      <w:r w:rsidRPr="009548D3">
        <w:rPr>
          <w:rFonts w:ascii="Arial" w:hAnsi="Arial" w:cs="Arial"/>
          <w:lang w:val="en-ZA"/>
        </w:rPr>
        <w:t xml:space="preserve"> statement,</w:t>
      </w:r>
      <w:r w:rsidRPr="009548D3">
        <w:rPr>
          <w:rFonts w:ascii="Arial" w:hAnsi="Arial" w:cs="Arial"/>
          <w:lang w:val="en-US"/>
        </w:rPr>
        <w:t xml:space="preserve"> paragraphs 5.9, 5.10 and 6.2, record pages 2508 and 2509; see also transcript pages 1289 to 129</w:t>
      </w:r>
      <w:r>
        <w:rPr>
          <w:rFonts w:ascii="Arial" w:hAnsi="Arial" w:cs="Arial"/>
          <w:lang w:val="en-US"/>
        </w:rPr>
        <w:t>1</w:t>
      </w:r>
      <w:r w:rsidRPr="009548D3">
        <w:rPr>
          <w:rFonts w:ascii="Arial" w:hAnsi="Arial" w:cs="Arial"/>
          <w:lang w:val="en-US"/>
        </w:rPr>
        <w:t>.</w:t>
      </w:r>
    </w:p>
  </w:footnote>
  <w:footnote w:id="4">
    <w:p w:rsidR="00F02DA6" w:rsidRPr="00A2403A" w:rsidRDefault="00F02DA6" w:rsidP="001F16B3">
      <w:pPr>
        <w:pStyle w:val="FootnoteText"/>
        <w:rPr>
          <w:rFonts w:ascii="Arial" w:hAnsi="Arial" w:cs="Arial"/>
          <w:lang w:val="en-ZA"/>
        </w:rPr>
      </w:pPr>
      <w:r w:rsidRPr="009548D3">
        <w:rPr>
          <w:rStyle w:val="FootnoteReference"/>
          <w:rFonts w:ascii="Arial" w:hAnsi="Arial" w:cs="Arial"/>
        </w:rPr>
        <w:footnoteRef/>
      </w:r>
      <w:r w:rsidRPr="009548D3">
        <w:rPr>
          <w:rFonts w:ascii="Arial" w:hAnsi="Arial" w:cs="Arial"/>
        </w:rPr>
        <w:t xml:space="preserve"> </w:t>
      </w:r>
      <w:proofErr w:type="gramStart"/>
      <w:r w:rsidRPr="009548D3">
        <w:rPr>
          <w:rFonts w:ascii="Arial" w:hAnsi="Arial" w:cs="Arial"/>
          <w:lang w:val="en-US"/>
        </w:rPr>
        <w:t>Leveugle’s witness</w:t>
      </w:r>
      <w:r w:rsidRPr="009548D3">
        <w:rPr>
          <w:rFonts w:ascii="Arial" w:hAnsi="Arial" w:cs="Arial"/>
          <w:lang w:val="en-ZA"/>
        </w:rPr>
        <w:t xml:space="preserve"> statement</w:t>
      </w:r>
      <w:r w:rsidRPr="009548D3">
        <w:rPr>
          <w:rFonts w:ascii="Arial" w:hAnsi="Arial" w:cs="Arial"/>
          <w:lang w:val="en-US"/>
        </w:rPr>
        <w:t>, paragraph 5.2, record page 2505; transcript pages 1290, 1332 and 1333.</w:t>
      </w:r>
      <w:proofErr w:type="gramEnd"/>
    </w:p>
  </w:footnote>
  <w:footnote w:id="5">
    <w:p w:rsidR="00F02DA6" w:rsidRPr="0065701B" w:rsidRDefault="00F02DA6" w:rsidP="007D6EF9">
      <w:pPr>
        <w:pStyle w:val="FootnoteText"/>
        <w:rPr>
          <w:rFonts w:ascii="Arial" w:hAnsi="Arial" w:cs="Arial"/>
          <w:lang w:val="en-ZA"/>
        </w:rPr>
      </w:pPr>
      <w:r w:rsidRPr="0065701B">
        <w:rPr>
          <w:rStyle w:val="FootnoteReference"/>
          <w:rFonts w:ascii="Arial" w:hAnsi="Arial" w:cs="Arial"/>
        </w:rPr>
        <w:footnoteRef/>
      </w:r>
      <w:r w:rsidRPr="0065701B">
        <w:rPr>
          <w:rFonts w:ascii="Arial" w:hAnsi="Arial" w:cs="Arial"/>
        </w:rPr>
        <w:t xml:space="preserve"> </w:t>
      </w:r>
      <w:r w:rsidRPr="009548D3">
        <w:rPr>
          <w:rFonts w:ascii="Arial" w:hAnsi="Arial" w:cs="Arial"/>
        </w:rPr>
        <w:t>See “</w:t>
      </w:r>
      <w:r w:rsidRPr="009548D3">
        <w:rPr>
          <w:rFonts w:ascii="Arial" w:hAnsi="Arial" w:cs="Arial"/>
          <w:b/>
        </w:rPr>
        <w:t>Annexure B</w:t>
      </w:r>
      <w:r w:rsidRPr="009548D3">
        <w:rPr>
          <w:rFonts w:ascii="Arial" w:hAnsi="Arial" w:cs="Arial"/>
        </w:rPr>
        <w:t xml:space="preserve">” to the Tribunal’s </w:t>
      </w:r>
      <w:r>
        <w:rPr>
          <w:rFonts w:ascii="Arial" w:hAnsi="Arial" w:cs="Arial"/>
        </w:rPr>
        <w:t>order</w:t>
      </w:r>
      <w:r w:rsidRPr="009548D3">
        <w:rPr>
          <w:rFonts w:ascii="Arial" w:hAnsi="Arial" w:cs="Arial"/>
        </w:rPr>
        <w:t>.</w:t>
      </w:r>
    </w:p>
  </w:footnote>
  <w:footnote w:id="6">
    <w:p w:rsidR="00F02DA6" w:rsidRPr="00626F2F" w:rsidRDefault="00F02DA6" w:rsidP="00474B48">
      <w:pPr>
        <w:pStyle w:val="FootnoteText"/>
        <w:rPr>
          <w:rFonts w:ascii="Arial" w:hAnsi="Arial" w:cs="Arial"/>
          <w:lang w:val="en-ZA"/>
        </w:rPr>
      </w:pPr>
      <w:r w:rsidRPr="0065701B">
        <w:rPr>
          <w:rStyle w:val="FootnoteReference"/>
          <w:rFonts w:ascii="Arial" w:hAnsi="Arial" w:cs="Arial"/>
        </w:rPr>
        <w:footnoteRef/>
      </w:r>
      <w:r w:rsidRPr="0065701B">
        <w:rPr>
          <w:rFonts w:ascii="Arial" w:hAnsi="Arial" w:cs="Arial"/>
        </w:rPr>
        <w:t xml:space="preserve"> </w:t>
      </w:r>
      <w:r w:rsidRPr="00626F2F">
        <w:rPr>
          <w:rFonts w:ascii="Arial" w:hAnsi="Arial" w:cs="Arial"/>
          <w:lang w:val="en-ZA"/>
        </w:rPr>
        <w:t>See letters received from Nortons Inc dated 03 July 2014 (without prejudice) and 11 July 2014 (with prejudice).</w:t>
      </w:r>
    </w:p>
  </w:footnote>
  <w:footnote w:id="7">
    <w:p w:rsidR="00F02DA6" w:rsidRPr="0065701B" w:rsidRDefault="00F02DA6" w:rsidP="007D6EF9">
      <w:pPr>
        <w:pStyle w:val="FootnoteText"/>
        <w:rPr>
          <w:rFonts w:ascii="Arial" w:hAnsi="Arial" w:cs="Arial"/>
          <w:lang w:val="en-ZA"/>
        </w:rPr>
      </w:pPr>
      <w:r w:rsidRPr="00626F2F">
        <w:rPr>
          <w:rStyle w:val="FootnoteReference"/>
          <w:rFonts w:ascii="Arial" w:hAnsi="Arial" w:cs="Arial"/>
        </w:rPr>
        <w:footnoteRef/>
      </w:r>
      <w:r w:rsidRPr="00626F2F">
        <w:rPr>
          <w:rFonts w:ascii="Arial" w:hAnsi="Arial" w:cs="Arial"/>
        </w:rPr>
        <w:t xml:space="preserve"> </w:t>
      </w:r>
      <w:r w:rsidRPr="00626F2F">
        <w:rPr>
          <w:rFonts w:ascii="Arial" w:hAnsi="Arial" w:cs="Arial"/>
          <w:lang w:val="en-ZA"/>
        </w:rPr>
        <w:t>See letter received from Nortons Inc dated 15 July 2014.</w:t>
      </w:r>
    </w:p>
  </w:footnote>
  <w:footnote w:id="8">
    <w:p w:rsidR="00F02DA6" w:rsidRPr="009548D3" w:rsidRDefault="00F02DA6">
      <w:pPr>
        <w:pStyle w:val="FootnoteText"/>
        <w:rPr>
          <w:rFonts w:ascii="Arial" w:hAnsi="Arial" w:cs="Arial"/>
          <w:lang w:val="en-ZA"/>
        </w:rPr>
      </w:pPr>
      <w:r w:rsidRPr="009548D3">
        <w:rPr>
          <w:rStyle w:val="FootnoteReference"/>
          <w:rFonts w:ascii="Arial" w:hAnsi="Arial" w:cs="Arial"/>
        </w:rPr>
        <w:footnoteRef/>
      </w:r>
      <w:r w:rsidRPr="009548D3">
        <w:rPr>
          <w:rFonts w:ascii="Arial" w:hAnsi="Arial" w:cs="Arial"/>
        </w:rPr>
        <w:t xml:space="preserve"> Loukidis’ witness statement, paragraph 4, record page 2339.</w:t>
      </w:r>
    </w:p>
  </w:footnote>
  <w:footnote w:id="9">
    <w:p w:rsidR="00F02DA6" w:rsidRPr="009548D3" w:rsidRDefault="00F02DA6" w:rsidP="00FC2188">
      <w:pPr>
        <w:pStyle w:val="FootnoteText"/>
        <w:rPr>
          <w:rFonts w:ascii="Arial" w:hAnsi="Arial" w:cs="Arial"/>
          <w:lang w:val="en-ZA"/>
        </w:rPr>
      </w:pPr>
      <w:r w:rsidRPr="009548D3">
        <w:rPr>
          <w:rStyle w:val="FootnoteReference"/>
          <w:rFonts w:ascii="Arial" w:hAnsi="Arial" w:cs="Arial"/>
        </w:rPr>
        <w:footnoteRef/>
      </w:r>
      <w:r w:rsidRPr="009548D3">
        <w:rPr>
          <w:rFonts w:ascii="Arial" w:hAnsi="Arial" w:cs="Arial"/>
        </w:rPr>
        <w:t xml:space="preserve"> </w:t>
      </w:r>
      <w:r w:rsidRPr="009548D3">
        <w:rPr>
          <w:rFonts w:ascii="Arial" w:hAnsi="Arial" w:cs="Arial"/>
          <w:lang w:val="en-US"/>
        </w:rPr>
        <w:t>Coady’s witness statement, paragraph 6, record page 2346.</w:t>
      </w:r>
    </w:p>
  </w:footnote>
  <w:footnote w:id="10">
    <w:p w:rsidR="00F02DA6" w:rsidRPr="00B143A0" w:rsidRDefault="00F02DA6" w:rsidP="007D6EF9">
      <w:pPr>
        <w:pStyle w:val="FootnoteText"/>
        <w:rPr>
          <w:rFonts w:ascii="Arial" w:hAnsi="Arial" w:cs="Arial"/>
          <w:lang w:val="en-ZA"/>
        </w:rPr>
      </w:pPr>
      <w:r w:rsidRPr="009548D3">
        <w:rPr>
          <w:rStyle w:val="FootnoteReference"/>
          <w:rFonts w:ascii="Arial" w:hAnsi="Arial" w:cs="Arial"/>
        </w:rPr>
        <w:footnoteRef/>
      </w:r>
      <w:r w:rsidRPr="009548D3">
        <w:rPr>
          <w:rFonts w:ascii="Arial" w:hAnsi="Arial" w:cs="Arial"/>
        </w:rPr>
        <w:t xml:space="preserve"> </w:t>
      </w:r>
      <w:r w:rsidRPr="009548D3">
        <w:rPr>
          <w:rFonts w:ascii="Arial" w:hAnsi="Arial" w:cs="Arial"/>
          <w:lang w:val="en-US"/>
        </w:rPr>
        <w:t>Coady’s witness statement, paragraph 4, record page 2346.</w:t>
      </w:r>
    </w:p>
  </w:footnote>
  <w:footnote w:id="11">
    <w:p w:rsidR="00F02DA6" w:rsidRPr="009548D3" w:rsidRDefault="00F02DA6" w:rsidP="007D6EF9">
      <w:pPr>
        <w:pStyle w:val="FootnoteText"/>
        <w:rPr>
          <w:lang w:val="en-ZA"/>
        </w:rPr>
      </w:pPr>
      <w:r w:rsidRPr="0065701B">
        <w:rPr>
          <w:rStyle w:val="FootnoteReference"/>
          <w:rFonts w:ascii="Arial" w:hAnsi="Arial" w:cs="Arial"/>
        </w:rPr>
        <w:footnoteRef/>
      </w:r>
      <w:r w:rsidRPr="0065701B">
        <w:rPr>
          <w:rFonts w:ascii="Arial" w:hAnsi="Arial" w:cs="Arial"/>
        </w:rPr>
        <w:t xml:space="preserve"> </w:t>
      </w:r>
      <w:proofErr w:type="gramStart"/>
      <w:r w:rsidRPr="009548D3">
        <w:rPr>
          <w:rFonts w:ascii="Arial" w:hAnsi="Arial" w:cs="Arial"/>
          <w:lang w:val="en-US"/>
        </w:rPr>
        <w:t>Transcript, page 1017.</w:t>
      </w:r>
      <w:proofErr w:type="gramEnd"/>
    </w:p>
  </w:footnote>
  <w:footnote w:id="12">
    <w:p w:rsidR="00F02DA6" w:rsidRPr="009548D3" w:rsidRDefault="00F02DA6" w:rsidP="007D6EF9">
      <w:pPr>
        <w:pStyle w:val="FootnoteText"/>
        <w:rPr>
          <w:rFonts w:ascii="Arial" w:hAnsi="Arial" w:cs="Arial"/>
          <w:lang w:val="en-ZA"/>
        </w:rPr>
      </w:pPr>
      <w:r w:rsidRPr="009548D3">
        <w:rPr>
          <w:rStyle w:val="FootnoteReference"/>
          <w:rFonts w:ascii="Arial" w:hAnsi="Arial" w:cs="Arial"/>
        </w:rPr>
        <w:footnoteRef/>
      </w:r>
      <w:r w:rsidRPr="009548D3">
        <w:rPr>
          <w:rFonts w:ascii="Arial" w:hAnsi="Arial" w:cs="Arial"/>
        </w:rPr>
        <w:t xml:space="preserve"> </w:t>
      </w:r>
      <w:proofErr w:type="gramStart"/>
      <w:r w:rsidRPr="009548D3">
        <w:rPr>
          <w:rFonts w:ascii="Arial" w:hAnsi="Arial" w:cs="Arial"/>
          <w:lang w:val="en-ZA"/>
        </w:rPr>
        <w:t>Transcript, page 1019.</w:t>
      </w:r>
      <w:proofErr w:type="gramEnd"/>
    </w:p>
  </w:footnote>
  <w:footnote w:id="13">
    <w:p w:rsidR="00F02DA6" w:rsidRPr="00A2403A" w:rsidRDefault="00F02DA6">
      <w:pPr>
        <w:pStyle w:val="FootnoteText"/>
        <w:rPr>
          <w:lang w:val="en-ZA"/>
        </w:rPr>
      </w:pPr>
      <w:r w:rsidRPr="009548D3">
        <w:rPr>
          <w:rStyle w:val="FootnoteReference"/>
          <w:rFonts w:ascii="Arial" w:hAnsi="Arial" w:cs="Arial"/>
        </w:rPr>
        <w:footnoteRef/>
      </w:r>
      <w:r w:rsidRPr="009548D3">
        <w:rPr>
          <w:rFonts w:ascii="Arial" w:hAnsi="Arial" w:cs="Arial"/>
        </w:rPr>
        <w:t xml:space="preserve"> Thermoset resins for coatings are used to manufacture paint.</w:t>
      </w:r>
    </w:p>
  </w:footnote>
  <w:footnote w:id="14">
    <w:p w:rsidR="00F02DA6" w:rsidRPr="009548D3" w:rsidRDefault="00F02DA6" w:rsidP="00543F9C">
      <w:pPr>
        <w:pStyle w:val="FootnoteText"/>
        <w:rPr>
          <w:rFonts w:ascii="Arial" w:hAnsi="Arial" w:cs="Arial"/>
          <w:lang w:val="en-ZA"/>
        </w:rPr>
      </w:pPr>
      <w:r w:rsidRPr="009548D3">
        <w:rPr>
          <w:rStyle w:val="FootnoteReference"/>
          <w:rFonts w:ascii="Arial" w:hAnsi="Arial" w:cs="Arial"/>
        </w:rPr>
        <w:footnoteRef/>
      </w:r>
      <w:r w:rsidRPr="009548D3">
        <w:rPr>
          <w:rFonts w:ascii="Arial" w:hAnsi="Arial" w:cs="Arial"/>
        </w:rPr>
        <w:t xml:space="preserve"> A</w:t>
      </w:r>
      <w:r w:rsidRPr="009548D3">
        <w:rPr>
          <w:rFonts w:ascii="Arial" w:hAnsi="Arial" w:cs="Arial"/>
          <w:lang w:val="en-ZA"/>
        </w:rPr>
        <w:t xml:space="preserve">tlin (also referred to as FRC) was established by a former NCS employee, Mr Naas Ferreira.  </w:t>
      </w:r>
    </w:p>
  </w:footnote>
  <w:footnote w:id="15">
    <w:p w:rsidR="00F02DA6" w:rsidRPr="009548D3" w:rsidRDefault="00F02DA6" w:rsidP="004C5CB8">
      <w:pPr>
        <w:pStyle w:val="NoSpacing"/>
        <w:rPr>
          <w:rFonts w:ascii="Arial" w:hAnsi="Arial" w:cs="Arial"/>
          <w:sz w:val="20"/>
          <w:szCs w:val="20"/>
        </w:rPr>
      </w:pPr>
      <w:r w:rsidRPr="009548D3">
        <w:rPr>
          <w:rStyle w:val="FootnoteReference"/>
          <w:rFonts w:ascii="Arial" w:hAnsi="Arial" w:cs="Arial"/>
          <w:sz w:val="20"/>
          <w:szCs w:val="20"/>
        </w:rPr>
        <w:footnoteRef/>
      </w:r>
      <w:r w:rsidRPr="009548D3">
        <w:rPr>
          <w:rFonts w:ascii="Arial" w:hAnsi="Arial" w:cs="Arial"/>
          <w:sz w:val="20"/>
          <w:szCs w:val="20"/>
        </w:rPr>
        <w:t xml:space="preserve"> See </w:t>
      </w:r>
      <w:r w:rsidRPr="009548D3">
        <w:rPr>
          <w:rFonts w:ascii="Arial" w:hAnsi="Arial" w:cs="Arial"/>
          <w:i/>
          <w:sz w:val="20"/>
          <w:szCs w:val="20"/>
        </w:rPr>
        <w:t>inter alia</w:t>
      </w:r>
      <w:r w:rsidRPr="009548D3">
        <w:rPr>
          <w:rFonts w:ascii="Arial" w:hAnsi="Arial" w:cs="Arial"/>
          <w:sz w:val="20"/>
          <w:szCs w:val="20"/>
        </w:rPr>
        <w:t xml:space="preserve"> Moosa’s testimony at transcript page 326. </w:t>
      </w:r>
    </w:p>
  </w:footnote>
  <w:footnote w:id="16">
    <w:p w:rsidR="00F02DA6" w:rsidRPr="009548D3" w:rsidRDefault="00F02DA6" w:rsidP="004C5CB8">
      <w:pPr>
        <w:pStyle w:val="FootnoteText"/>
        <w:rPr>
          <w:rFonts w:ascii="Arial" w:hAnsi="Arial" w:cs="Arial"/>
          <w:lang w:val="en-ZA"/>
        </w:rPr>
      </w:pPr>
      <w:r w:rsidRPr="009548D3">
        <w:rPr>
          <w:rStyle w:val="FootnoteReference"/>
          <w:rFonts w:ascii="Arial" w:hAnsi="Arial" w:cs="Arial"/>
        </w:rPr>
        <w:footnoteRef/>
      </w:r>
      <w:r w:rsidRPr="009548D3">
        <w:rPr>
          <w:rFonts w:ascii="Arial" w:hAnsi="Arial" w:cs="Arial"/>
        </w:rPr>
        <w:t xml:space="preserve"> </w:t>
      </w:r>
      <w:proofErr w:type="gramStart"/>
      <w:r w:rsidRPr="009548D3">
        <w:rPr>
          <w:rFonts w:ascii="Arial" w:hAnsi="Arial" w:cs="Arial"/>
          <w:lang w:val="en-ZA"/>
        </w:rPr>
        <w:t>Moosa, transcript pages 367 to 370; Duma, transcript page</w:t>
      </w:r>
      <w:r>
        <w:rPr>
          <w:rFonts w:ascii="Arial" w:hAnsi="Arial" w:cs="Arial"/>
          <w:lang w:val="en-ZA"/>
        </w:rPr>
        <w:t>s</w:t>
      </w:r>
      <w:r w:rsidRPr="009548D3">
        <w:rPr>
          <w:rFonts w:ascii="Arial" w:hAnsi="Arial" w:cs="Arial"/>
          <w:lang w:val="en-ZA"/>
        </w:rPr>
        <w:t xml:space="preserve"> 100 to 102; Perrow’s witness statement, paragraph 47, record page 2484.</w:t>
      </w:r>
      <w:proofErr w:type="gramEnd"/>
    </w:p>
  </w:footnote>
  <w:footnote w:id="17">
    <w:p w:rsidR="00F02DA6" w:rsidRPr="008D065B" w:rsidRDefault="00F02DA6" w:rsidP="004C5CB8">
      <w:pPr>
        <w:pStyle w:val="FootnoteText"/>
        <w:rPr>
          <w:rFonts w:ascii="Arial" w:hAnsi="Arial" w:cs="Arial"/>
          <w:lang w:val="en-ZA"/>
        </w:rPr>
      </w:pPr>
      <w:r w:rsidRPr="008D065B">
        <w:rPr>
          <w:rStyle w:val="FootnoteReference"/>
          <w:rFonts w:ascii="Arial" w:hAnsi="Arial" w:cs="Arial"/>
        </w:rPr>
        <w:footnoteRef/>
      </w:r>
      <w:r w:rsidRPr="008D065B">
        <w:rPr>
          <w:rFonts w:ascii="Arial" w:hAnsi="Arial" w:cs="Arial"/>
        </w:rPr>
        <w:t xml:space="preserve"> Moosa, transcript pages 326 and 366 to 368; Duma, transcript pages 100 to 102; Loukidis, transcript page 454; Perrow’s witness statement, paragraph 47, record pages 2483 and 2484. </w:t>
      </w:r>
    </w:p>
  </w:footnote>
  <w:footnote w:id="18">
    <w:p w:rsidR="00F02DA6" w:rsidRPr="00674EB9" w:rsidRDefault="00F02DA6" w:rsidP="004C5CB8">
      <w:pPr>
        <w:pStyle w:val="FootnoteText"/>
        <w:rPr>
          <w:rFonts w:ascii="Arial" w:hAnsi="Arial" w:cs="Arial"/>
          <w:lang w:val="en-ZA"/>
        </w:rPr>
      </w:pPr>
      <w:r w:rsidRPr="00674EB9">
        <w:rPr>
          <w:rStyle w:val="FootnoteReference"/>
          <w:rFonts w:ascii="Arial" w:hAnsi="Arial" w:cs="Arial"/>
        </w:rPr>
        <w:footnoteRef/>
      </w:r>
      <w:r w:rsidRPr="00674EB9">
        <w:rPr>
          <w:rFonts w:ascii="Arial" w:hAnsi="Arial" w:cs="Arial"/>
        </w:rPr>
        <w:t xml:space="preserve"> </w:t>
      </w:r>
      <w:r w:rsidRPr="00674EB9">
        <w:rPr>
          <w:rFonts w:ascii="Arial" w:hAnsi="Arial" w:cs="Arial"/>
          <w:lang w:val="en-ZA"/>
        </w:rPr>
        <w:t>See “</w:t>
      </w:r>
      <w:r w:rsidRPr="00674EB9">
        <w:rPr>
          <w:rFonts w:ascii="Arial" w:hAnsi="Arial" w:cs="Arial"/>
          <w:b/>
          <w:lang w:val="en-ZA"/>
        </w:rPr>
        <w:t>Annexure C</w:t>
      </w:r>
      <w:r w:rsidRPr="00674EB9">
        <w:rPr>
          <w:rFonts w:ascii="Arial" w:hAnsi="Arial" w:cs="Arial"/>
          <w:lang w:val="en-ZA"/>
        </w:rPr>
        <w:t>” to the Tribunal’s order.</w:t>
      </w:r>
    </w:p>
  </w:footnote>
  <w:footnote w:id="19">
    <w:p w:rsidR="00F02DA6" w:rsidRPr="00674EB9" w:rsidRDefault="00F02DA6" w:rsidP="006836F0">
      <w:pPr>
        <w:pStyle w:val="FootnoteText"/>
        <w:rPr>
          <w:rFonts w:ascii="Arial" w:hAnsi="Arial" w:cs="Arial"/>
          <w:lang w:val="en-ZA"/>
        </w:rPr>
      </w:pPr>
      <w:r w:rsidRPr="00674EB9">
        <w:rPr>
          <w:rStyle w:val="FootnoteReference"/>
          <w:rFonts w:ascii="Arial" w:hAnsi="Arial" w:cs="Arial"/>
        </w:rPr>
        <w:footnoteRef/>
      </w:r>
      <w:r w:rsidRPr="00674EB9">
        <w:rPr>
          <w:rFonts w:ascii="Arial" w:hAnsi="Arial" w:cs="Arial"/>
        </w:rPr>
        <w:t xml:space="preserve"> </w:t>
      </w:r>
      <w:proofErr w:type="gramStart"/>
      <w:r w:rsidRPr="00674EB9">
        <w:rPr>
          <w:rFonts w:ascii="Arial" w:hAnsi="Arial" w:cs="Arial"/>
        </w:rPr>
        <w:t>Duma, transcript page 97.</w:t>
      </w:r>
      <w:proofErr w:type="gramEnd"/>
    </w:p>
  </w:footnote>
  <w:footnote w:id="20">
    <w:p w:rsidR="00F02DA6" w:rsidRPr="00674EB9" w:rsidRDefault="00F02DA6" w:rsidP="006836F0">
      <w:pPr>
        <w:pStyle w:val="FootnoteText"/>
        <w:rPr>
          <w:rFonts w:ascii="Arial" w:hAnsi="Arial" w:cs="Arial"/>
          <w:lang w:val="en-ZA"/>
        </w:rPr>
      </w:pPr>
      <w:r w:rsidRPr="00674EB9">
        <w:rPr>
          <w:rStyle w:val="FootnoteReference"/>
          <w:rFonts w:ascii="Arial" w:hAnsi="Arial" w:cs="Arial"/>
        </w:rPr>
        <w:footnoteRef/>
      </w:r>
      <w:r w:rsidRPr="00674EB9">
        <w:rPr>
          <w:rFonts w:ascii="Arial" w:hAnsi="Arial" w:cs="Arial"/>
        </w:rPr>
        <w:t xml:space="preserve"> </w:t>
      </w:r>
      <w:proofErr w:type="gramStart"/>
      <w:r w:rsidRPr="00674EB9">
        <w:rPr>
          <w:rFonts w:ascii="Arial" w:hAnsi="Arial" w:cs="Arial"/>
        </w:rPr>
        <w:t>Duma, transcript pages 97 and 98.</w:t>
      </w:r>
      <w:proofErr w:type="gramEnd"/>
    </w:p>
  </w:footnote>
  <w:footnote w:id="21">
    <w:p w:rsidR="00F02DA6" w:rsidRPr="00674EB9" w:rsidRDefault="00F02DA6" w:rsidP="006836F0">
      <w:pPr>
        <w:pStyle w:val="FootnoteText"/>
        <w:rPr>
          <w:rFonts w:ascii="Arial" w:hAnsi="Arial" w:cs="Arial"/>
          <w:lang w:val="en-ZA"/>
        </w:rPr>
      </w:pPr>
      <w:r w:rsidRPr="00674EB9">
        <w:rPr>
          <w:rStyle w:val="FootnoteReference"/>
          <w:rFonts w:ascii="Arial" w:hAnsi="Arial" w:cs="Arial"/>
        </w:rPr>
        <w:footnoteRef/>
      </w:r>
      <w:r w:rsidRPr="00674EB9">
        <w:rPr>
          <w:rFonts w:ascii="Arial" w:hAnsi="Arial" w:cs="Arial"/>
        </w:rPr>
        <w:t xml:space="preserve"> </w:t>
      </w:r>
      <w:proofErr w:type="gramStart"/>
      <w:r w:rsidRPr="00674EB9">
        <w:rPr>
          <w:rFonts w:ascii="Arial" w:hAnsi="Arial" w:cs="Arial"/>
        </w:rPr>
        <w:t>Duma, transcript pages 98 and 99.</w:t>
      </w:r>
      <w:proofErr w:type="gramEnd"/>
    </w:p>
  </w:footnote>
  <w:footnote w:id="22">
    <w:p w:rsidR="00F02DA6" w:rsidRPr="00674EB9" w:rsidRDefault="00F02DA6" w:rsidP="00493177">
      <w:pPr>
        <w:pStyle w:val="FootnoteText"/>
        <w:rPr>
          <w:rFonts w:ascii="Arial" w:hAnsi="Arial" w:cs="Arial"/>
          <w:lang w:val="en-ZA"/>
        </w:rPr>
      </w:pPr>
      <w:r w:rsidRPr="00674EB9">
        <w:rPr>
          <w:rStyle w:val="FootnoteReference"/>
          <w:rFonts w:ascii="Arial" w:hAnsi="Arial" w:cs="Arial"/>
        </w:rPr>
        <w:footnoteRef/>
      </w:r>
      <w:r w:rsidRPr="00674EB9">
        <w:rPr>
          <w:rFonts w:ascii="Arial" w:hAnsi="Arial" w:cs="Arial"/>
        </w:rPr>
        <w:t xml:space="preserve"> Hahn’s witness statement</w:t>
      </w:r>
      <w:r>
        <w:rPr>
          <w:rFonts w:ascii="Arial" w:hAnsi="Arial" w:cs="Arial"/>
        </w:rPr>
        <w:t>,</w:t>
      </w:r>
      <w:r w:rsidRPr="00674EB9">
        <w:rPr>
          <w:rFonts w:ascii="Arial" w:hAnsi="Arial" w:cs="Arial"/>
        </w:rPr>
        <w:t xml:space="preserve"> paragraphs 25 and 26</w:t>
      </w:r>
      <w:r>
        <w:rPr>
          <w:rFonts w:ascii="Arial" w:hAnsi="Arial" w:cs="Arial"/>
        </w:rPr>
        <w:t xml:space="preserve">. </w:t>
      </w:r>
    </w:p>
  </w:footnote>
  <w:footnote w:id="23">
    <w:p w:rsidR="00F02DA6" w:rsidRPr="00205904" w:rsidRDefault="00F02DA6">
      <w:pPr>
        <w:pStyle w:val="FootnoteText"/>
        <w:rPr>
          <w:rFonts w:ascii="Arial" w:hAnsi="Arial" w:cs="Arial"/>
          <w:lang w:val="en-ZA"/>
        </w:rPr>
      </w:pPr>
      <w:r w:rsidRPr="009548D3">
        <w:rPr>
          <w:rStyle w:val="FootnoteReference"/>
          <w:rFonts w:ascii="Arial" w:hAnsi="Arial" w:cs="Arial"/>
        </w:rPr>
        <w:footnoteRef/>
      </w:r>
      <w:r w:rsidRPr="009548D3">
        <w:rPr>
          <w:rFonts w:ascii="Arial" w:hAnsi="Arial" w:cs="Arial"/>
        </w:rPr>
        <w:t xml:space="preserve"> See </w:t>
      </w:r>
      <w:r w:rsidRPr="009548D3">
        <w:rPr>
          <w:rFonts w:ascii="Arial" w:hAnsi="Arial" w:cs="Arial"/>
          <w:i/>
        </w:rPr>
        <w:t xml:space="preserve">inter alia </w:t>
      </w:r>
      <w:r w:rsidRPr="009548D3">
        <w:rPr>
          <w:rFonts w:ascii="Arial" w:hAnsi="Arial" w:cs="Arial"/>
          <w:lang w:val="en-US"/>
        </w:rPr>
        <w:t xml:space="preserve">Stephen, transcript page 1035; </w:t>
      </w:r>
      <w:r w:rsidRPr="009548D3">
        <w:rPr>
          <w:rFonts w:ascii="Arial" w:hAnsi="Arial" w:cs="Arial"/>
          <w:lang w:val="en-ZA"/>
        </w:rPr>
        <w:t>Hodge, transcript page 1430;</w:t>
      </w:r>
      <w:r w:rsidRPr="009548D3">
        <w:rPr>
          <w:rFonts w:ascii="Arial" w:hAnsi="Arial" w:cs="Arial"/>
          <w:lang w:val="en-US"/>
        </w:rPr>
        <w:t xml:space="preserve"> Du Plessis, transcript page 750; witness statement of Perrow, paragraph 33, record pages 2478 and 2479; witness</w:t>
      </w:r>
      <w:r w:rsidRPr="009548D3">
        <w:rPr>
          <w:rFonts w:ascii="Arial" w:hAnsi="Arial" w:cs="Arial"/>
          <w:lang w:val="en-ZA"/>
        </w:rPr>
        <w:t xml:space="preserve"> statement of Beal, paragraph 25, record page 2379</w:t>
      </w:r>
      <w:r w:rsidRPr="009548D3">
        <w:rPr>
          <w:rFonts w:ascii="Arial" w:hAnsi="Arial" w:cs="Arial"/>
          <w:lang w:val="en-US"/>
        </w:rPr>
        <w:t>.</w:t>
      </w:r>
    </w:p>
  </w:footnote>
  <w:footnote w:id="24">
    <w:p w:rsidR="00F02DA6" w:rsidRPr="009548D3" w:rsidRDefault="00F02DA6">
      <w:pPr>
        <w:pStyle w:val="FootnoteText"/>
        <w:rPr>
          <w:rFonts w:ascii="Arial" w:hAnsi="Arial" w:cs="Arial"/>
          <w:lang w:val="en-ZA"/>
        </w:rPr>
      </w:pPr>
      <w:r w:rsidRPr="009548D3">
        <w:rPr>
          <w:rStyle w:val="FootnoteReference"/>
          <w:rFonts w:ascii="Arial" w:hAnsi="Arial" w:cs="Arial"/>
        </w:rPr>
        <w:footnoteRef/>
      </w:r>
      <w:r w:rsidRPr="009548D3">
        <w:rPr>
          <w:rFonts w:ascii="Arial" w:hAnsi="Arial" w:cs="Arial"/>
        </w:rPr>
        <w:t xml:space="preserve"> Genesis Report, paragraphs 43 to 45, record pages 2688 and 2689; RBB Report, paragraph 86, record page 2769.</w:t>
      </w:r>
    </w:p>
  </w:footnote>
  <w:footnote w:id="25">
    <w:p w:rsidR="00F02DA6" w:rsidRPr="009548D3" w:rsidRDefault="00F02DA6">
      <w:pPr>
        <w:pStyle w:val="FootnoteText"/>
        <w:rPr>
          <w:rFonts w:ascii="Arial" w:hAnsi="Arial" w:cs="Arial"/>
          <w:lang w:val="en-ZA"/>
        </w:rPr>
      </w:pPr>
      <w:r w:rsidRPr="009548D3">
        <w:rPr>
          <w:rStyle w:val="FootnoteReference"/>
          <w:rFonts w:ascii="Arial" w:hAnsi="Arial" w:cs="Arial"/>
        </w:rPr>
        <w:footnoteRef/>
      </w:r>
      <w:r w:rsidRPr="009548D3">
        <w:rPr>
          <w:rFonts w:ascii="Arial" w:hAnsi="Arial" w:cs="Arial"/>
        </w:rPr>
        <w:t xml:space="preserve"> </w:t>
      </w:r>
      <w:r w:rsidRPr="009548D3">
        <w:rPr>
          <w:rFonts w:ascii="Arial" w:hAnsi="Arial" w:cs="Arial"/>
          <w:lang w:val="en-ZA"/>
        </w:rPr>
        <w:t>Hahn’s witness statement, paragraph 10, record page 2304.</w:t>
      </w:r>
    </w:p>
  </w:footnote>
  <w:footnote w:id="26">
    <w:p w:rsidR="00F02DA6" w:rsidRPr="009548D3" w:rsidRDefault="00F02DA6">
      <w:pPr>
        <w:pStyle w:val="FootnoteText"/>
        <w:rPr>
          <w:rFonts w:ascii="Arial" w:hAnsi="Arial" w:cs="Arial"/>
          <w:lang w:val="en-ZA"/>
        </w:rPr>
      </w:pPr>
      <w:r w:rsidRPr="009548D3">
        <w:rPr>
          <w:rStyle w:val="FootnoteReference"/>
          <w:rFonts w:ascii="Arial" w:hAnsi="Arial" w:cs="Arial"/>
        </w:rPr>
        <w:footnoteRef/>
      </w:r>
      <w:r w:rsidRPr="009548D3">
        <w:rPr>
          <w:rFonts w:ascii="Arial" w:hAnsi="Arial" w:cs="Arial"/>
        </w:rPr>
        <w:t xml:space="preserve"> </w:t>
      </w:r>
      <w:r w:rsidRPr="009548D3">
        <w:rPr>
          <w:rFonts w:ascii="Arial" w:hAnsi="Arial" w:cs="Arial"/>
          <w:lang w:val="en-ZA"/>
        </w:rPr>
        <w:t>Hahn’s witness statement, paragraph 11, record page 2305.</w:t>
      </w:r>
    </w:p>
  </w:footnote>
  <w:footnote w:id="27">
    <w:p w:rsidR="00F02DA6" w:rsidRPr="000D1D99" w:rsidRDefault="00F02DA6">
      <w:pPr>
        <w:pStyle w:val="FootnoteText"/>
        <w:rPr>
          <w:rFonts w:ascii="Arial" w:hAnsi="Arial" w:cs="Arial"/>
          <w:lang w:val="en-ZA"/>
        </w:rPr>
      </w:pPr>
      <w:r w:rsidRPr="000D1D99">
        <w:rPr>
          <w:rStyle w:val="FootnoteReference"/>
          <w:rFonts w:ascii="Arial" w:hAnsi="Arial" w:cs="Arial"/>
        </w:rPr>
        <w:footnoteRef/>
      </w:r>
      <w:r w:rsidRPr="000D1D99">
        <w:rPr>
          <w:rFonts w:ascii="Arial" w:hAnsi="Arial" w:cs="Arial"/>
        </w:rPr>
        <w:t xml:space="preserve"> Duma’s</w:t>
      </w:r>
      <w:r w:rsidRPr="000D1D99">
        <w:rPr>
          <w:rFonts w:ascii="Arial" w:hAnsi="Arial" w:cs="Arial"/>
          <w:lang w:val="en-ZA"/>
        </w:rPr>
        <w:t xml:space="preserve"> witness statement, paragraphs 8 and 9, record page 2314.</w:t>
      </w:r>
    </w:p>
  </w:footnote>
  <w:footnote w:id="28">
    <w:p w:rsidR="00F02DA6" w:rsidRPr="000D1D99" w:rsidRDefault="00F02DA6">
      <w:pPr>
        <w:pStyle w:val="FootnoteText"/>
        <w:rPr>
          <w:rFonts w:ascii="Arial" w:hAnsi="Arial" w:cs="Arial"/>
          <w:lang w:val="en-ZA"/>
        </w:rPr>
      </w:pPr>
      <w:r w:rsidRPr="000D1D99">
        <w:rPr>
          <w:rStyle w:val="FootnoteReference"/>
          <w:rFonts w:ascii="Arial" w:hAnsi="Arial" w:cs="Arial"/>
        </w:rPr>
        <w:footnoteRef/>
      </w:r>
      <w:r w:rsidRPr="000D1D99">
        <w:rPr>
          <w:rFonts w:ascii="Arial" w:hAnsi="Arial" w:cs="Arial"/>
        </w:rPr>
        <w:t xml:space="preserve"> Hahn’s witness statement, paragraphs 18 and 19, record page 2306; Duma’s witness statement, paragraphs 18 to 20, record page 2316.</w:t>
      </w:r>
    </w:p>
  </w:footnote>
  <w:footnote w:id="29">
    <w:p w:rsidR="00F02DA6" w:rsidRPr="000D1D99" w:rsidRDefault="00F02DA6">
      <w:pPr>
        <w:pStyle w:val="FootnoteText"/>
        <w:rPr>
          <w:rFonts w:ascii="Arial" w:hAnsi="Arial" w:cs="Arial"/>
          <w:lang w:val="en-ZA"/>
        </w:rPr>
      </w:pPr>
      <w:r w:rsidRPr="000D1D99">
        <w:rPr>
          <w:rStyle w:val="FootnoteReference"/>
          <w:rFonts w:ascii="Arial" w:hAnsi="Arial" w:cs="Arial"/>
        </w:rPr>
        <w:footnoteRef/>
      </w:r>
      <w:r w:rsidRPr="000D1D99">
        <w:rPr>
          <w:rFonts w:ascii="Arial" w:hAnsi="Arial" w:cs="Arial"/>
        </w:rPr>
        <w:t xml:space="preserve"> Duma’s witness statement, paragraphs 9 and 14, record pages 2314 and 2315; Hahn’s witness statement, paragraphs 11 and 17, record pages 2305 and 2306.</w:t>
      </w:r>
    </w:p>
  </w:footnote>
  <w:footnote w:id="30">
    <w:p w:rsidR="00F02DA6" w:rsidRPr="000D1D99" w:rsidRDefault="00F02DA6" w:rsidP="00BE2A33">
      <w:pPr>
        <w:pStyle w:val="FootnoteText"/>
        <w:rPr>
          <w:rFonts w:ascii="Arial" w:hAnsi="Arial" w:cs="Arial"/>
          <w:lang w:val="en-ZA"/>
        </w:rPr>
      </w:pPr>
      <w:r w:rsidRPr="000D1D99">
        <w:rPr>
          <w:rStyle w:val="FootnoteReference"/>
          <w:rFonts w:ascii="Arial" w:hAnsi="Arial" w:cs="Arial"/>
        </w:rPr>
        <w:footnoteRef/>
      </w:r>
      <w:r w:rsidRPr="000D1D99">
        <w:rPr>
          <w:rFonts w:ascii="Arial" w:hAnsi="Arial" w:cs="Arial"/>
        </w:rPr>
        <w:t xml:space="preserve"> </w:t>
      </w:r>
      <w:proofErr w:type="gramStart"/>
      <w:r w:rsidRPr="000D1D99">
        <w:rPr>
          <w:rFonts w:ascii="Arial" w:hAnsi="Arial" w:cs="Arial"/>
          <w:lang w:val="en-ZA"/>
        </w:rPr>
        <w:t>Transcript, page 1099.</w:t>
      </w:r>
      <w:proofErr w:type="gramEnd"/>
    </w:p>
  </w:footnote>
  <w:footnote w:id="31">
    <w:p w:rsidR="00F02DA6" w:rsidRPr="000D1D99" w:rsidRDefault="00F02DA6">
      <w:pPr>
        <w:pStyle w:val="FootnoteText"/>
        <w:rPr>
          <w:rFonts w:ascii="Arial" w:hAnsi="Arial" w:cs="Arial"/>
          <w:lang w:val="en-ZA"/>
        </w:rPr>
      </w:pPr>
      <w:r w:rsidRPr="000D1D99">
        <w:rPr>
          <w:rStyle w:val="FootnoteReference"/>
          <w:rFonts w:ascii="Arial" w:hAnsi="Arial" w:cs="Arial"/>
        </w:rPr>
        <w:footnoteRef/>
      </w:r>
      <w:r w:rsidRPr="000D1D99">
        <w:rPr>
          <w:rFonts w:ascii="Arial" w:hAnsi="Arial" w:cs="Arial"/>
        </w:rPr>
        <w:t xml:space="preserve"> Duma’s</w:t>
      </w:r>
      <w:r w:rsidRPr="000D1D99">
        <w:rPr>
          <w:rFonts w:ascii="Arial" w:hAnsi="Arial" w:cs="Arial"/>
          <w:lang w:val="en-ZA"/>
        </w:rPr>
        <w:t xml:space="preserve"> witness statement, paragraph 9, record page 2314.</w:t>
      </w:r>
    </w:p>
  </w:footnote>
  <w:footnote w:id="32">
    <w:p w:rsidR="00F02DA6" w:rsidRPr="000D1D99" w:rsidRDefault="00F02DA6">
      <w:pPr>
        <w:pStyle w:val="FootnoteText"/>
        <w:rPr>
          <w:rFonts w:ascii="Arial" w:hAnsi="Arial" w:cs="Arial"/>
          <w:lang w:val="en-ZA"/>
        </w:rPr>
      </w:pPr>
      <w:r w:rsidRPr="000D1D99">
        <w:rPr>
          <w:rStyle w:val="FootnoteReference"/>
          <w:rFonts w:ascii="Arial" w:hAnsi="Arial" w:cs="Arial"/>
        </w:rPr>
        <w:footnoteRef/>
      </w:r>
      <w:r w:rsidRPr="000D1D99">
        <w:rPr>
          <w:rFonts w:ascii="Arial" w:hAnsi="Arial" w:cs="Arial"/>
        </w:rPr>
        <w:t xml:space="preserve"> </w:t>
      </w:r>
      <w:r w:rsidRPr="000D1D99">
        <w:rPr>
          <w:rFonts w:ascii="Arial" w:hAnsi="Arial" w:cs="Arial"/>
          <w:lang w:val="en-ZA"/>
        </w:rPr>
        <w:t>Hahn’s witness statement, paragraph 17, record page 2306.</w:t>
      </w:r>
    </w:p>
  </w:footnote>
  <w:footnote w:id="33">
    <w:p w:rsidR="00F02DA6" w:rsidRPr="003265C3" w:rsidRDefault="00F02DA6">
      <w:pPr>
        <w:pStyle w:val="FootnoteText"/>
        <w:rPr>
          <w:lang w:val="en-ZA"/>
        </w:rPr>
      </w:pPr>
      <w:r w:rsidRPr="000D1D99">
        <w:rPr>
          <w:rStyle w:val="FootnoteReference"/>
          <w:rFonts w:ascii="Arial" w:hAnsi="Arial" w:cs="Arial"/>
        </w:rPr>
        <w:footnoteRef/>
      </w:r>
      <w:r w:rsidRPr="000D1D99">
        <w:rPr>
          <w:rFonts w:ascii="Arial" w:hAnsi="Arial" w:cs="Arial"/>
        </w:rPr>
        <w:t xml:space="preserve"> Duma’s witness statement, paragraph 25, record page 2317.</w:t>
      </w:r>
    </w:p>
  </w:footnote>
  <w:footnote w:id="34">
    <w:p w:rsidR="00F02DA6" w:rsidRPr="009548D3" w:rsidRDefault="00F02DA6" w:rsidP="00AC31FD">
      <w:pPr>
        <w:pStyle w:val="FootnoteText"/>
        <w:rPr>
          <w:rFonts w:ascii="Arial" w:hAnsi="Arial" w:cs="Arial"/>
          <w:lang w:val="en-ZA"/>
        </w:rPr>
      </w:pPr>
      <w:r w:rsidRPr="009548D3">
        <w:rPr>
          <w:rStyle w:val="FootnoteReference"/>
          <w:rFonts w:ascii="Arial" w:hAnsi="Arial" w:cs="Arial"/>
        </w:rPr>
        <w:footnoteRef/>
      </w:r>
      <w:r w:rsidRPr="009548D3">
        <w:rPr>
          <w:rFonts w:ascii="Arial" w:hAnsi="Arial" w:cs="Arial"/>
        </w:rPr>
        <w:t xml:space="preserve"> </w:t>
      </w:r>
      <w:proofErr w:type="gramStart"/>
      <w:r w:rsidRPr="009548D3">
        <w:rPr>
          <w:rFonts w:ascii="Arial" w:hAnsi="Arial" w:cs="Arial"/>
        </w:rPr>
        <w:t xml:space="preserve">RBB Report, </w:t>
      </w:r>
      <w:r w:rsidRPr="009548D3">
        <w:rPr>
          <w:rFonts w:ascii="Arial" w:hAnsi="Arial" w:cs="Arial"/>
          <w:i/>
        </w:rPr>
        <w:t>inter alia</w:t>
      </w:r>
      <w:r w:rsidRPr="009548D3">
        <w:rPr>
          <w:rFonts w:ascii="Arial" w:hAnsi="Arial" w:cs="Arial"/>
        </w:rPr>
        <w:t xml:space="preserve"> paragraph 130, record page 2789.</w:t>
      </w:r>
      <w:proofErr w:type="gramEnd"/>
    </w:p>
  </w:footnote>
  <w:footnote w:id="35">
    <w:p w:rsidR="00F02DA6" w:rsidRPr="00D61B99" w:rsidRDefault="00F02DA6" w:rsidP="003A2F45">
      <w:pPr>
        <w:pStyle w:val="FootnoteText"/>
        <w:rPr>
          <w:rFonts w:ascii="Arial" w:hAnsi="Arial" w:cs="Arial"/>
          <w:lang w:val="en-ZA"/>
        </w:rPr>
      </w:pPr>
      <w:r w:rsidRPr="00D61B99">
        <w:rPr>
          <w:rStyle w:val="FootnoteReference"/>
          <w:rFonts w:ascii="Arial" w:hAnsi="Arial" w:cs="Arial"/>
        </w:rPr>
        <w:footnoteRef/>
      </w:r>
      <w:r w:rsidRPr="00D61B99">
        <w:rPr>
          <w:rFonts w:ascii="Arial" w:hAnsi="Arial" w:cs="Arial"/>
        </w:rPr>
        <w:t xml:space="preserve"> Including mining UPRs in the calculation of the total UPRs sold in South Africa.</w:t>
      </w:r>
    </w:p>
  </w:footnote>
  <w:footnote w:id="36">
    <w:p w:rsidR="00F02DA6" w:rsidRPr="00D61B99" w:rsidRDefault="00F02DA6">
      <w:pPr>
        <w:pStyle w:val="FootnoteText"/>
        <w:rPr>
          <w:rFonts w:ascii="Arial" w:hAnsi="Arial" w:cs="Arial"/>
          <w:lang w:val="en-ZA"/>
        </w:rPr>
      </w:pPr>
      <w:r w:rsidRPr="00D61B99">
        <w:rPr>
          <w:rStyle w:val="FootnoteReference"/>
          <w:rFonts w:ascii="Arial" w:hAnsi="Arial" w:cs="Arial"/>
        </w:rPr>
        <w:footnoteRef/>
      </w:r>
      <w:r w:rsidRPr="00D61B99">
        <w:rPr>
          <w:rFonts w:ascii="Arial" w:hAnsi="Arial" w:cs="Arial"/>
        </w:rPr>
        <w:t xml:space="preserve"> </w:t>
      </w:r>
      <w:proofErr w:type="gramStart"/>
      <w:r w:rsidRPr="00D61B99">
        <w:rPr>
          <w:rFonts w:ascii="Arial" w:hAnsi="Arial" w:cs="Arial"/>
        </w:rPr>
        <w:t>Genesis Report, Table 2, record page 2694.</w:t>
      </w:r>
      <w:proofErr w:type="gramEnd"/>
    </w:p>
  </w:footnote>
  <w:footnote w:id="37">
    <w:p w:rsidR="00F02DA6" w:rsidRPr="00D61B99" w:rsidRDefault="00F02DA6" w:rsidP="00651D5B">
      <w:pPr>
        <w:pStyle w:val="FootnoteText"/>
        <w:rPr>
          <w:rFonts w:ascii="Arial" w:hAnsi="Arial" w:cs="Arial"/>
          <w:lang w:val="en-ZA"/>
        </w:rPr>
      </w:pPr>
      <w:r w:rsidRPr="00D61B99">
        <w:rPr>
          <w:rStyle w:val="FootnoteReference"/>
          <w:rFonts w:ascii="Arial" w:hAnsi="Arial" w:cs="Arial"/>
        </w:rPr>
        <w:footnoteRef/>
      </w:r>
      <w:r w:rsidRPr="00D61B99">
        <w:rPr>
          <w:rFonts w:ascii="Arial" w:hAnsi="Arial" w:cs="Arial"/>
        </w:rPr>
        <w:t xml:space="preserve"> Duma’s witness statement, paragraph 28, record page 2318.</w:t>
      </w:r>
    </w:p>
  </w:footnote>
  <w:footnote w:id="38">
    <w:p w:rsidR="00F02DA6" w:rsidRPr="00D61B99" w:rsidRDefault="00F02DA6">
      <w:pPr>
        <w:pStyle w:val="FootnoteText"/>
        <w:rPr>
          <w:rFonts w:ascii="Arial" w:hAnsi="Arial" w:cs="Arial"/>
          <w:lang w:val="en-ZA"/>
        </w:rPr>
      </w:pPr>
      <w:r w:rsidRPr="00D61B99">
        <w:rPr>
          <w:rStyle w:val="FootnoteReference"/>
          <w:rFonts w:ascii="Arial" w:hAnsi="Arial" w:cs="Arial"/>
        </w:rPr>
        <w:footnoteRef/>
      </w:r>
      <w:r w:rsidRPr="00D61B99">
        <w:rPr>
          <w:rFonts w:ascii="Arial" w:hAnsi="Arial" w:cs="Arial"/>
        </w:rPr>
        <w:t xml:space="preserve"> Hahn’s witness statement, paragraph 29, record page 2308.</w:t>
      </w:r>
    </w:p>
  </w:footnote>
  <w:footnote w:id="39">
    <w:p w:rsidR="00F02DA6" w:rsidRPr="00D61B99" w:rsidRDefault="00F02DA6">
      <w:pPr>
        <w:pStyle w:val="FootnoteText"/>
        <w:rPr>
          <w:rFonts w:ascii="Arial" w:hAnsi="Arial" w:cs="Arial"/>
          <w:lang w:val="en-ZA"/>
        </w:rPr>
      </w:pPr>
      <w:r w:rsidRPr="00D61B99">
        <w:rPr>
          <w:rStyle w:val="FootnoteReference"/>
          <w:rFonts w:ascii="Arial" w:hAnsi="Arial" w:cs="Arial"/>
        </w:rPr>
        <w:footnoteRef/>
      </w:r>
      <w:r w:rsidRPr="00D61B99">
        <w:rPr>
          <w:rFonts w:ascii="Arial" w:hAnsi="Arial" w:cs="Arial"/>
        </w:rPr>
        <w:t xml:space="preserve"> </w:t>
      </w:r>
      <w:proofErr w:type="gramStart"/>
      <w:r w:rsidRPr="003B01E8">
        <w:rPr>
          <w:rFonts w:ascii="Arial" w:hAnsi="Arial" w:cs="Arial"/>
        </w:rPr>
        <w:t xml:space="preserve">Neethling’s witness statement, paragraph 21; </w:t>
      </w:r>
      <w:r>
        <w:rPr>
          <w:rFonts w:ascii="Arial" w:hAnsi="Arial" w:cs="Arial"/>
        </w:rPr>
        <w:t>Perrow, transcript, pages 826 and 977.</w:t>
      </w:r>
      <w:proofErr w:type="gramEnd"/>
    </w:p>
  </w:footnote>
  <w:footnote w:id="40">
    <w:p w:rsidR="00F02DA6" w:rsidRPr="00D61B99" w:rsidRDefault="00F02DA6" w:rsidP="00247929">
      <w:pPr>
        <w:pStyle w:val="FootnoteText"/>
        <w:rPr>
          <w:rFonts w:ascii="Arial" w:hAnsi="Arial" w:cs="Arial"/>
          <w:lang w:val="en-ZA"/>
        </w:rPr>
      </w:pPr>
      <w:r w:rsidRPr="00D61B99">
        <w:rPr>
          <w:rStyle w:val="FootnoteReference"/>
          <w:rFonts w:ascii="Arial" w:hAnsi="Arial" w:cs="Arial"/>
        </w:rPr>
        <w:footnoteRef/>
      </w:r>
      <w:r w:rsidRPr="00D61B99">
        <w:rPr>
          <w:rFonts w:ascii="Arial" w:hAnsi="Arial" w:cs="Arial"/>
        </w:rPr>
        <w:t xml:space="preserve"> Loukidis’ witness statement, paragraph 9, record page 2340.</w:t>
      </w:r>
    </w:p>
  </w:footnote>
  <w:footnote w:id="41">
    <w:p w:rsidR="00F02DA6" w:rsidRPr="00D61B99" w:rsidRDefault="00F02DA6" w:rsidP="00247929">
      <w:pPr>
        <w:pStyle w:val="FootnoteText"/>
        <w:rPr>
          <w:rFonts w:ascii="Arial" w:hAnsi="Arial" w:cs="Arial"/>
          <w:lang w:val="en-ZA"/>
        </w:rPr>
      </w:pPr>
      <w:r w:rsidRPr="00D61B99">
        <w:rPr>
          <w:rStyle w:val="FootnoteReference"/>
          <w:rFonts w:ascii="Arial" w:hAnsi="Arial" w:cs="Arial"/>
        </w:rPr>
        <w:footnoteRef/>
      </w:r>
      <w:r w:rsidRPr="00D61B99">
        <w:rPr>
          <w:rFonts w:ascii="Arial" w:hAnsi="Arial" w:cs="Arial"/>
        </w:rPr>
        <w:t xml:space="preserve"> </w:t>
      </w:r>
      <w:proofErr w:type="gramStart"/>
      <w:r w:rsidRPr="00D61B99">
        <w:rPr>
          <w:rFonts w:ascii="Arial" w:hAnsi="Arial" w:cs="Arial"/>
        </w:rPr>
        <w:t>Transcript, page 1069.</w:t>
      </w:r>
      <w:proofErr w:type="gramEnd"/>
    </w:p>
  </w:footnote>
  <w:footnote w:id="42">
    <w:p w:rsidR="00F02DA6" w:rsidRPr="00BD333F" w:rsidRDefault="00F02DA6" w:rsidP="00247929">
      <w:pPr>
        <w:pStyle w:val="FootnoteText"/>
        <w:rPr>
          <w:rFonts w:ascii="Arial" w:hAnsi="Arial" w:cs="Arial"/>
          <w:lang w:val="en-ZA"/>
        </w:rPr>
      </w:pPr>
      <w:r w:rsidRPr="00D61B99">
        <w:rPr>
          <w:rStyle w:val="FootnoteReference"/>
          <w:rFonts w:ascii="Arial" w:hAnsi="Arial" w:cs="Arial"/>
        </w:rPr>
        <w:footnoteRef/>
      </w:r>
      <w:r w:rsidRPr="00D61B99">
        <w:rPr>
          <w:rFonts w:ascii="Arial" w:hAnsi="Arial" w:cs="Arial"/>
        </w:rPr>
        <w:t xml:space="preserve"> </w:t>
      </w:r>
      <w:proofErr w:type="gramStart"/>
      <w:r w:rsidRPr="00D61B99">
        <w:rPr>
          <w:rFonts w:ascii="Arial" w:hAnsi="Arial" w:cs="Arial"/>
        </w:rPr>
        <w:t>Beal’s witness statement, paragraph 11, record page 2376; Stephen, transcript</w:t>
      </w:r>
      <w:r>
        <w:rPr>
          <w:rFonts w:ascii="Arial" w:hAnsi="Arial" w:cs="Arial"/>
        </w:rPr>
        <w:t>,</w:t>
      </w:r>
      <w:r w:rsidRPr="00D61B99">
        <w:rPr>
          <w:rFonts w:ascii="Arial" w:hAnsi="Arial" w:cs="Arial"/>
        </w:rPr>
        <w:t xml:space="preserve"> page 1053.</w:t>
      </w:r>
      <w:proofErr w:type="gramEnd"/>
    </w:p>
  </w:footnote>
  <w:footnote w:id="43">
    <w:p w:rsidR="00F02DA6" w:rsidRPr="00BD333F" w:rsidRDefault="00F02DA6" w:rsidP="00A367E1">
      <w:pPr>
        <w:pStyle w:val="FootnoteText"/>
        <w:rPr>
          <w:rFonts w:ascii="Arial" w:hAnsi="Arial" w:cs="Arial"/>
          <w:lang w:val="en-ZA"/>
        </w:rPr>
      </w:pPr>
      <w:r w:rsidRPr="00BD333F">
        <w:rPr>
          <w:rStyle w:val="FootnoteReference"/>
          <w:rFonts w:ascii="Arial" w:hAnsi="Arial" w:cs="Arial"/>
        </w:rPr>
        <w:footnoteRef/>
      </w:r>
      <w:r w:rsidRPr="00BD333F">
        <w:rPr>
          <w:rFonts w:ascii="Arial" w:hAnsi="Arial" w:cs="Arial"/>
        </w:rPr>
        <w:t xml:space="preserve"> Loukidis’ witness statement, paragraph 23, record page 2342.</w:t>
      </w:r>
    </w:p>
  </w:footnote>
  <w:footnote w:id="44">
    <w:p w:rsidR="00F02DA6" w:rsidRPr="00BD333F" w:rsidRDefault="00F02DA6" w:rsidP="00A367E1">
      <w:pPr>
        <w:pStyle w:val="FootnoteText"/>
        <w:rPr>
          <w:rFonts w:ascii="Arial" w:hAnsi="Arial" w:cs="Arial"/>
          <w:lang w:val="en-ZA"/>
        </w:rPr>
      </w:pPr>
      <w:r w:rsidRPr="00BD333F">
        <w:rPr>
          <w:rStyle w:val="FootnoteReference"/>
          <w:rFonts w:ascii="Arial" w:hAnsi="Arial" w:cs="Arial"/>
        </w:rPr>
        <w:footnoteRef/>
      </w:r>
      <w:r w:rsidRPr="00BD333F">
        <w:rPr>
          <w:rFonts w:ascii="Arial" w:hAnsi="Arial" w:cs="Arial"/>
        </w:rPr>
        <w:t xml:space="preserve"> Loukidis’ witness statement, paragraph 29, record page 2343.</w:t>
      </w:r>
    </w:p>
  </w:footnote>
  <w:footnote w:id="45">
    <w:p w:rsidR="00F02DA6" w:rsidRPr="00BD333F" w:rsidRDefault="00F02DA6" w:rsidP="00A367E1">
      <w:pPr>
        <w:pStyle w:val="FootnoteText"/>
        <w:rPr>
          <w:rFonts w:ascii="Arial" w:hAnsi="Arial" w:cs="Arial"/>
          <w:lang w:val="en-ZA"/>
        </w:rPr>
      </w:pPr>
      <w:r w:rsidRPr="00BD333F">
        <w:rPr>
          <w:rStyle w:val="FootnoteReference"/>
          <w:rFonts w:ascii="Arial" w:hAnsi="Arial" w:cs="Arial"/>
        </w:rPr>
        <w:footnoteRef/>
      </w:r>
      <w:r w:rsidRPr="00BD333F">
        <w:rPr>
          <w:rFonts w:ascii="Arial" w:hAnsi="Arial" w:cs="Arial"/>
        </w:rPr>
        <w:t xml:space="preserve"> </w:t>
      </w:r>
      <w:proofErr w:type="gramStart"/>
      <w:r w:rsidRPr="00BD333F">
        <w:rPr>
          <w:rFonts w:ascii="Arial" w:hAnsi="Arial" w:cs="Arial"/>
        </w:rPr>
        <w:t>Transcript, page 1211.</w:t>
      </w:r>
      <w:proofErr w:type="gramEnd"/>
    </w:p>
  </w:footnote>
  <w:footnote w:id="46">
    <w:p w:rsidR="00F02DA6" w:rsidRPr="0013047A" w:rsidRDefault="00F02DA6" w:rsidP="00A367E1">
      <w:pPr>
        <w:pStyle w:val="FootnoteText"/>
        <w:rPr>
          <w:rFonts w:ascii="Arial" w:hAnsi="Arial" w:cs="Arial"/>
          <w:lang w:val="en-ZA"/>
        </w:rPr>
      </w:pPr>
      <w:r w:rsidRPr="00BD333F">
        <w:rPr>
          <w:rStyle w:val="FootnoteReference"/>
          <w:rFonts w:ascii="Arial" w:hAnsi="Arial" w:cs="Arial"/>
        </w:rPr>
        <w:footnoteRef/>
      </w:r>
      <w:r w:rsidRPr="00BD333F">
        <w:rPr>
          <w:rFonts w:ascii="Arial" w:hAnsi="Arial" w:cs="Arial"/>
        </w:rPr>
        <w:t xml:space="preserve"> Beal’s witness statement, paragraph 6, record page 2375.</w:t>
      </w:r>
    </w:p>
  </w:footnote>
  <w:footnote w:id="47">
    <w:p w:rsidR="00F02DA6" w:rsidRPr="00BD333F" w:rsidRDefault="00F02DA6" w:rsidP="00523237">
      <w:pPr>
        <w:pStyle w:val="FootnoteText"/>
        <w:rPr>
          <w:rFonts w:ascii="Arial" w:hAnsi="Arial" w:cs="Arial"/>
          <w:lang w:val="en-ZA"/>
        </w:rPr>
      </w:pPr>
      <w:r w:rsidRPr="00BD333F">
        <w:rPr>
          <w:rStyle w:val="FootnoteReference"/>
          <w:rFonts w:ascii="Arial" w:hAnsi="Arial" w:cs="Arial"/>
        </w:rPr>
        <w:footnoteRef/>
      </w:r>
      <w:r w:rsidRPr="00BD333F">
        <w:rPr>
          <w:rFonts w:ascii="Arial" w:hAnsi="Arial" w:cs="Arial"/>
        </w:rPr>
        <w:t xml:space="preserve"> Moosa’s witness statement, paragraphs 36 and 37, record page 2394; Yunus’ witness statement, paragraph 16, record page 2370.</w:t>
      </w:r>
    </w:p>
  </w:footnote>
  <w:footnote w:id="48">
    <w:p w:rsidR="00F02DA6" w:rsidRPr="00BD333F" w:rsidRDefault="00F02DA6">
      <w:pPr>
        <w:pStyle w:val="FootnoteText"/>
        <w:rPr>
          <w:rFonts w:ascii="Arial" w:hAnsi="Arial" w:cs="Arial"/>
          <w:lang w:val="en-ZA"/>
        </w:rPr>
      </w:pPr>
      <w:r w:rsidRPr="00BD333F">
        <w:rPr>
          <w:rStyle w:val="FootnoteReference"/>
          <w:rFonts w:ascii="Arial" w:hAnsi="Arial" w:cs="Arial"/>
        </w:rPr>
        <w:footnoteRef/>
      </w:r>
      <w:r w:rsidRPr="00BD333F">
        <w:rPr>
          <w:rFonts w:ascii="Arial" w:hAnsi="Arial" w:cs="Arial"/>
        </w:rPr>
        <w:t xml:space="preserve"> </w:t>
      </w:r>
      <w:r w:rsidRPr="00BD333F">
        <w:rPr>
          <w:rFonts w:ascii="Arial" w:hAnsi="Arial" w:cs="Arial"/>
          <w:i/>
          <w:lang w:val="en-ZA"/>
        </w:rPr>
        <w:t>Inter alia</w:t>
      </w:r>
      <w:r w:rsidRPr="00BD333F">
        <w:rPr>
          <w:rFonts w:ascii="Arial" w:hAnsi="Arial" w:cs="Arial"/>
          <w:lang w:val="en-ZA"/>
        </w:rPr>
        <w:t xml:space="preserve"> Neethling, transcript pages 588 and 589.</w:t>
      </w:r>
    </w:p>
  </w:footnote>
  <w:footnote w:id="49">
    <w:p w:rsidR="00F02DA6" w:rsidRPr="00BD333F" w:rsidRDefault="00F02DA6" w:rsidP="00523237">
      <w:pPr>
        <w:pStyle w:val="FootnoteText"/>
        <w:rPr>
          <w:rFonts w:ascii="Arial" w:hAnsi="Arial" w:cs="Arial"/>
          <w:lang w:val="en-ZA"/>
        </w:rPr>
      </w:pPr>
      <w:r w:rsidRPr="00BD333F">
        <w:rPr>
          <w:rStyle w:val="FootnoteReference"/>
          <w:rFonts w:ascii="Arial" w:hAnsi="Arial" w:cs="Arial"/>
        </w:rPr>
        <w:footnoteRef/>
      </w:r>
      <w:r w:rsidRPr="00BD333F">
        <w:rPr>
          <w:rFonts w:ascii="Arial" w:hAnsi="Arial" w:cs="Arial"/>
        </w:rPr>
        <w:t xml:space="preserve"> Perrow’s witness statement, paragraph 68, record pages 2489 and 2490.</w:t>
      </w:r>
    </w:p>
  </w:footnote>
  <w:footnote w:id="50">
    <w:p w:rsidR="00F02DA6" w:rsidRPr="00BD333F" w:rsidRDefault="00F02DA6">
      <w:pPr>
        <w:pStyle w:val="FootnoteText"/>
        <w:rPr>
          <w:rFonts w:ascii="Arial" w:hAnsi="Arial" w:cs="Arial"/>
          <w:lang w:val="en-ZA"/>
        </w:rPr>
      </w:pPr>
      <w:r w:rsidRPr="00BD333F">
        <w:rPr>
          <w:rStyle w:val="FootnoteReference"/>
          <w:rFonts w:ascii="Arial" w:hAnsi="Arial" w:cs="Arial"/>
        </w:rPr>
        <w:footnoteRef/>
      </w:r>
      <w:r w:rsidRPr="00BD333F">
        <w:rPr>
          <w:rFonts w:ascii="Arial" w:hAnsi="Arial" w:cs="Arial"/>
        </w:rPr>
        <w:t xml:space="preserve"> Neethling’s witness statement, paragraph 35, record page 2413.</w:t>
      </w:r>
    </w:p>
  </w:footnote>
  <w:footnote w:id="51">
    <w:p w:rsidR="00F02DA6" w:rsidRPr="00BD333F" w:rsidRDefault="00F02DA6" w:rsidP="00F64EEA">
      <w:pPr>
        <w:pStyle w:val="FootnoteText"/>
        <w:rPr>
          <w:rFonts w:ascii="Arial" w:hAnsi="Arial" w:cs="Arial"/>
          <w:lang w:val="en-ZA"/>
        </w:rPr>
      </w:pPr>
      <w:r w:rsidRPr="00BD333F">
        <w:rPr>
          <w:rStyle w:val="FootnoteReference"/>
          <w:rFonts w:ascii="Arial" w:hAnsi="Arial" w:cs="Arial"/>
        </w:rPr>
        <w:footnoteRef/>
      </w:r>
      <w:r w:rsidRPr="00BD333F">
        <w:rPr>
          <w:rFonts w:ascii="Arial" w:hAnsi="Arial" w:cs="Arial"/>
        </w:rPr>
        <w:t xml:space="preserve"> Yunus’ witness statement, paragraph 16, record page 2370; Du Plessis’ witness statement, paragraph 25, record page 2356.</w:t>
      </w:r>
    </w:p>
  </w:footnote>
  <w:footnote w:id="52">
    <w:p w:rsidR="00F02DA6" w:rsidRPr="00240FBD" w:rsidRDefault="00F02DA6" w:rsidP="006E5F8C">
      <w:pPr>
        <w:pStyle w:val="FootnoteText"/>
        <w:rPr>
          <w:rFonts w:ascii="Arial" w:hAnsi="Arial" w:cs="Arial"/>
          <w:lang w:val="en-ZA"/>
        </w:rPr>
      </w:pPr>
      <w:r w:rsidRPr="00240FBD">
        <w:rPr>
          <w:rStyle w:val="FootnoteReference"/>
          <w:rFonts w:ascii="Arial" w:hAnsi="Arial" w:cs="Arial"/>
        </w:rPr>
        <w:footnoteRef/>
      </w:r>
      <w:r w:rsidRPr="00240FBD">
        <w:rPr>
          <w:rFonts w:ascii="Arial" w:hAnsi="Arial" w:cs="Arial"/>
        </w:rPr>
        <w:t xml:space="preserve"> Transcript, pages 598 and 599.</w:t>
      </w:r>
    </w:p>
  </w:footnote>
  <w:footnote w:id="53">
    <w:p w:rsidR="00F02DA6" w:rsidRPr="00240FBD" w:rsidRDefault="00F02DA6" w:rsidP="006E5F8C">
      <w:pPr>
        <w:pStyle w:val="FootnoteText"/>
        <w:rPr>
          <w:rFonts w:ascii="Arial" w:hAnsi="Arial" w:cs="Arial"/>
          <w:lang w:val="en-ZA"/>
        </w:rPr>
      </w:pPr>
      <w:r w:rsidRPr="00240FBD">
        <w:rPr>
          <w:rStyle w:val="FootnoteReference"/>
          <w:rFonts w:ascii="Arial" w:hAnsi="Arial" w:cs="Arial"/>
        </w:rPr>
        <w:footnoteRef/>
      </w:r>
      <w:r w:rsidRPr="00240FBD">
        <w:rPr>
          <w:rFonts w:ascii="Arial" w:hAnsi="Arial" w:cs="Arial"/>
        </w:rPr>
        <w:t xml:space="preserve"> </w:t>
      </w:r>
      <w:r>
        <w:rPr>
          <w:rFonts w:ascii="Arial" w:hAnsi="Arial" w:cs="Arial"/>
        </w:rPr>
        <w:t xml:space="preserve">Pravesh </w:t>
      </w:r>
      <w:r w:rsidRPr="006801C2">
        <w:rPr>
          <w:rFonts w:ascii="Arial" w:hAnsi="Arial" w:cs="Arial"/>
        </w:rPr>
        <w:t>Singh’s</w:t>
      </w:r>
      <w:r w:rsidRPr="00033FB0">
        <w:rPr>
          <w:rFonts w:ascii="Arial" w:hAnsi="Arial" w:cs="Arial"/>
        </w:rPr>
        <w:t xml:space="preserve"> witness statement</w:t>
      </w:r>
      <w:r w:rsidRPr="00033FB0">
        <w:rPr>
          <w:rFonts w:ascii="Arial" w:hAnsi="Arial" w:cs="Arial"/>
          <w:i/>
        </w:rPr>
        <w:t>, inter alia</w:t>
      </w:r>
      <w:r w:rsidRPr="00033FB0">
        <w:rPr>
          <w:rFonts w:ascii="Arial" w:hAnsi="Arial" w:cs="Arial"/>
        </w:rPr>
        <w:t xml:space="preserve"> paragraphs 3, 14 and 15. Also see questions put to Moosa at transcript, pages 384 and 385.</w:t>
      </w:r>
    </w:p>
  </w:footnote>
  <w:footnote w:id="54">
    <w:p w:rsidR="00F02DA6" w:rsidRPr="00240FBD" w:rsidRDefault="00F02DA6" w:rsidP="00617DFC">
      <w:pPr>
        <w:pStyle w:val="FootnoteText"/>
        <w:rPr>
          <w:rFonts w:ascii="Arial" w:hAnsi="Arial" w:cs="Arial"/>
          <w:lang w:val="en-ZA"/>
        </w:rPr>
      </w:pPr>
      <w:r w:rsidRPr="00240FBD">
        <w:rPr>
          <w:rStyle w:val="FootnoteReference"/>
          <w:rFonts w:ascii="Arial" w:hAnsi="Arial" w:cs="Arial"/>
        </w:rPr>
        <w:footnoteRef/>
      </w:r>
      <w:r w:rsidRPr="00240FBD">
        <w:rPr>
          <w:rFonts w:ascii="Arial" w:hAnsi="Arial" w:cs="Arial"/>
        </w:rPr>
        <w:t xml:space="preserve"> </w:t>
      </w:r>
      <w:proofErr w:type="gramStart"/>
      <w:r w:rsidRPr="00240FBD">
        <w:rPr>
          <w:rFonts w:ascii="Arial" w:hAnsi="Arial" w:cs="Arial"/>
          <w:lang w:val="en-US"/>
        </w:rPr>
        <w:t>Neethling, transcript page 541.</w:t>
      </w:r>
      <w:proofErr w:type="gramEnd"/>
    </w:p>
  </w:footnote>
  <w:footnote w:id="55">
    <w:p w:rsidR="00F02DA6" w:rsidRPr="00240FBD" w:rsidRDefault="00F02DA6">
      <w:pPr>
        <w:pStyle w:val="FootnoteText"/>
        <w:rPr>
          <w:rFonts w:ascii="Arial" w:hAnsi="Arial" w:cs="Arial"/>
          <w:lang w:val="en-ZA"/>
        </w:rPr>
      </w:pPr>
      <w:r w:rsidRPr="00240FBD">
        <w:rPr>
          <w:rStyle w:val="FootnoteReference"/>
          <w:rFonts w:ascii="Arial" w:hAnsi="Arial" w:cs="Arial"/>
        </w:rPr>
        <w:footnoteRef/>
      </w:r>
      <w:r w:rsidRPr="00240FBD">
        <w:rPr>
          <w:rFonts w:ascii="Arial" w:hAnsi="Arial" w:cs="Arial"/>
        </w:rPr>
        <w:t xml:space="preserve"> </w:t>
      </w:r>
      <w:proofErr w:type="gramStart"/>
      <w:r>
        <w:rPr>
          <w:rFonts w:ascii="Arial" w:hAnsi="Arial" w:cs="Arial"/>
        </w:rPr>
        <w:t>Neethling’s witness statement, paragraph 11.</w:t>
      </w:r>
      <w:proofErr w:type="gramEnd"/>
    </w:p>
  </w:footnote>
  <w:footnote w:id="56">
    <w:p w:rsidR="00F02DA6" w:rsidRPr="00240FBD" w:rsidRDefault="00F02DA6" w:rsidP="00617DFC">
      <w:pPr>
        <w:pStyle w:val="FootnoteText"/>
        <w:rPr>
          <w:rFonts w:ascii="Arial" w:hAnsi="Arial" w:cs="Arial"/>
          <w:lang w:val="en-ZA"/>
        </w:rPr>
      </w:pPr>
      <w:r w:rsidRPr="00240FBD">
        <w:rPr>
          <w:rStyle w:val="FootnoteReference"/>
          <w:rFonts w:ascii="Arial" w:hAnsi="Arial" w:cs="Arial"/>
        </w:rPr>
        <w:footnoteRef/>
      </w:r>
      <w:r w:rsidRPr="00240FBD">
        <w:rPr>
          <w:rFonts w:ascii="Arial" w:hAnsi="Arial" w:cs="Arial"/>
        </w:rPr>
        <w:t xml:space="preserve"> </w:t>
      </w:r>
      <w:proofErr w:type="gramStart"/>
      <w:r w:rsidRPr="00240FBD">
        <w:rPr>
          <w:rFonts w:ascii="Arial" w:hAnsi="Arial" w:cs="Arial"/>
          <w:lang w:val="en-US"/>
        </w:rPr>
        <w:t>Neethling, transcript</w:t>
      </w:r>
      <w:r w:rsidRPr="00240FBD">
        <w:rPr>
          <w:rFonts w:ascii="Arial" w:hAnsi="Arial" w:cs="Arial"/>
        </w:rPr>
        <w:t>, page</w:t>
      </w:r>
      <w:r>
        <w:rPr>
          <w:rFonts w:ascii="Arial" w:hAnsi="Arial" w:cs="Arial"/>
        </w:rPr>
        <w:t>s 545 to</w:t>
      </w:r>
      <w:r w:rsidRPr="00240FBD">
        <w:rPr>
          <w:rFonts w:ascii="Arial" w:hAnsi="Arial" w:cs="Arial"/>
        </w:rPr>
        <w:t xml:space="preserve"> 549.</w:t>
      </w:r>
      <w:proofErr w:type="gramEnd"/>
    </w:p>
  </w:footnote>
  <w:footnote w:id="57">
    <w:p w:rsidR="00F02DA6" w:rsidRPr="00737772" w:rsidRDefault="00F02DA6">
      <w:pPr>
        <w:pStyle w:val="FootnoteText"/>
        <w:rPr>
          <w:lang w:val="en-ZA"/>
        </w:rPr>
      </w:pPr>
      <w:r>
        <w:rPr>
          <w:rStyle w:val="FootnoteReference"/>
        </w:rPr>
        <w:footnoteRef/>
      </w:r>
      <w:r>
        <w:t xml:space="preserve"> </w:t>
      </w:r>
      <w:proofErr w:type="gramStart"/>
      <w:r w:rsidRPr="00033FB0">
        <w:rPr>
          <w:rFonts w:ascii="Arial" w:hAnsi="Arial" w:cs="Arial"/>
        </w:rPr>
        <w:t>Hodge, transcript pages 1412 and 1518</w:t>
      </w:r>
      <w:r w:rsidRPr="00AF4716">
        <w:rPr>
          <w:rFonts w:ascii="Arial" w:hAnsi="Arial" w:cs="Arial"/>
        </w:rPr>
        <w:t>.</w:t>
      </w:r>
      <w:proofErr w:type="gramEnd"/>
    </w:p>
  </w:footnote>
  <w:footnote w:id="58">
    <w:p w:rsidR="00F02DA6" w:rsidRPr="00240FBD" w:rsidRDefault="00F02DA6" w:rsidP="004213F0">
      <w:pPr>
        <w:pStyle w:val="FootnoteText"/>
        <w:rPr>
          <w:rFonts w:ascii="Arial" w:hAnsi="Arial" w:cs="Arial"/>
          <w:lang w:val="en-ZA"/>
        </w:rPr>
      </w:pPr>
      <w:r w:rsidRPr="00240FBD">
        <w:rPr>
          <w:rStyle w:val="FootnoteReference"/>
          <w:rFonts w:ascii="Arial" w:hAnsi="Arial" w:cs="Arial"/>
        </w:rPr>
        <w:footnoteRef/>
      </w:r>
      <w:r w:rsidRPr="00240FBD">
        <w:rPr>
          <w:rFonts w:ascii="Arial" w:hAnsi="Arial" w:cs="Arial"/>
        </w:rPr>
        <w:t xml:space="preserve"> </w:t>
      </w:r>
      <w:proofErr w:type="gramStart"/>
      <w:r w:rsidRPr="00240FBD">
        <w:rPr>
          <w:rFonts w:ascii="Arial" w:hAnsi="Arial" w:cs="Arial"/>
        </w:rPr>
        <w:t>Transcript, page 589.</w:t>
      </w:r>
      <w:proofErr w:type="gramEnd"/>
    </w:p>
  </w:footnote>
  <w:footnote w:id="59">
    <w:p w:rsidR="00F02DA6" w:rsidRPr="00BD333F" w:rsidRDefault="00F02DA6" w:rsidP="00254398">
      <w:pPr>
        <w:pStyle w:val="FootnoteText"/>
        <w:rPr>
          <w:rFonts w:ascii="Arial" w:hAnsi="Arial" w:cs="Arial"/>
          <w:lang w:val="en-US"/>
        </w:rPr>
      </w:pPr>
      <w:r w:rsidRPr="00240FBD">
        <w:rPr>
          <w:rStyle w:val="FootnoteReference"/>
          <w:rFonts w:ascii="Arial" w:hAnsi="Arial" w:cs="Arial"/>
        </w:rPr>
        <w:footnoteRef/>
      </w:r>
      <w:r w:rsidRPr="00240FBD">
        <w:rPr>
          <w:rFonts w:ascii="Arial" w:hAnsi="Arial" w:cs="Arial"/>
        </w:rPr>
        <w:t xml:space="preserve"> </w:t>
      </w:r>
      <w:proofErr w:type="gramStart"/>
      <w:r w:rsidRPr="00240FBD">
        <w:rPr>
          <w:rFonts w:ascii="Arial" w:hAnsi="Arial" w:cs="Arial"/>
          <w:lang w:val="en-US"/>
        </w:rPr>
        <w:t>Transcript, Perrow, pages 966 and 967.</w:t>
      </w:r>
      <w:proofErr w:type="gramEnd"/>
    </w:p>
  </w:footnote>
  <w:footnote w:id="60">
    <w:p w:rsidR="00F02DA6" w:rsidRPr="00BD333F" w:rsidRDefault="00F02DA6">
      <w:pPr>
        <w:pStyle w:val="FootnoteText"/>
        <w:rPr>
          <w:rFonts w:ascii="Arial" w:hAnsi="Arial" w:cs="Arial"/>
          <w:lang w:val="en-ZA"/>
        </w:rPr>
      </w:pPr>
      <w:r w:rsidRPr="00BD333F">
        <w:rPr>
          <w:rStyle w:val="FootnoteReference"/>
          <w:rFonts w:ascii="Arial" w:hAnsi="Arial" w:cs="Arial"/>
        </w:rPr>
        <w:footnoteRef/>
      </w:r>
      <w:r w:rsidRPr="00BD333F">
        <w:rPr>
          <w:rFonts w:ascii="Arial" w:hAnsi="Arial" w:cs="Arial"/>
        </w:rPr>
        <w:t xml:space="preserve"> South Africa has a free trade agreement with the European Union under which UPRs are zero-rated from a tariff perspective.</w:t>
      </w:r>
    </w:p>
  </w:footnote>
  <w:footnote w:id="61">
    <w:p w:rsidR="00F02DA6" w:rsidRPr="00BD333F" w:rsidRDefault="00F02DA6">
      <w:pPr>
        <w:pStyle w:val="FootnoteText"/>
        <w:rPr>
          <w:rFonts w:ascii="Arial" w:hAnsi="Arial" w:cs="Arial"/>
          <w:lang w:val="en-ZA"/>
        </w:rPr>
      </w:pPr>
      <w:r w:rsidRPr="00BD333F">
        <w:rPr>
          <w:rStyle w:val="FootnoteReference"/>
          <w:rFonts w:ascii="Arial" w:hAnsi="Arial" w:cs="Arial"/>
        </w:rPr>
        <w:footnoteRef/>
      </w:r>
      <w:r w:rsidRPr="00BD333F">
        <w:rPr>
          <w:rFonts w:ascii="Arial" w:hAnsi="Arial" w:cs="Arial"/>
        </w:rPr>
        <w:t xml:space="preserve"> </w:t>
      </w:r>
      <w:r w:rsidRPr="00BD333F">
        <w:rPr>
          <w:rFonts w:ascii="Arial" w:hAnsi="Arial" w:cs="Arial"/>
          <w:i/>
        </w:rPr>
        <w:t>Project Duty</w:t>
      </w:r>
      <w:r w:rsidRPr="00BD333F">
        <w:rPr>
          <w:rFonts w:ascii="Arial" w:hAnsi="Arial" w:cs="Arial"/>
        </w:rPr>
        <w:t>, see merger record page 1640. For the rationale see record pages 1656 and 1657.</w:t>
      </w:r>
    </w:p>
  </w:footnote>
  <w:footnote w:id="62">
    <w:p w:rsidR="00F02DA6" w:rsidRPr="00BD333F" w:rsidRDefault="00F02DA6">
      <w:pPr>
        <w:pStyle w:val="FootnoteText"/>
        <w:rPr>
          <w:rFonts w:ascii="Arial" w:hAnsi="Arial" w:cs="Arial"/>
          <w:lang w:val="en-ZA"/>
        </w:rPr>
      </w:pPr>
      <w:r w:rsidRPr="00BD333F">
        <w:rPr>
          <w:rStyle w:val="FootnoteReference"/>
          <w:rFonts w:ascii="Arial" w:hAnsi="Arial" w:cs="Arial"/>
        </w:rPr>
        <w:footnoteRef/>
      </w:r>
      <w:r w:rsidRPr="00BD333F">
        <w:rPr>
          <w:rFonts w:ascii="Arial" w:hAnsi="Arial" w:cs="Arial"/>
        </w:rPr>
        <w:t xml:space="preserve"> </w:t>
      </w:r>
      <w:proofErr w:type="gramStart"/>
      <w:r w:rsidRPr="00BD333F">
        <w:rPr>
          <w:rFonts w:ascii="Arial" w:hAnsi="Arial" w:cs="Arial"/>
        </w:rPr>
        <w:t>Exhibit 22; Minutes of the Durban Chemicals Cluster’s Executive Committee meeting of 22 January 2014.</w:t>
      </w:r>
      <w:proofErr w:type="gramEnd"/>
    </w:p>
  </w:footnote>
  <w:footnote w:id="63">
    <w:p w:rsidR="00F02DA6" w:rsidRPr="0013047A" w:rsidRDefault="00F02DA6">
      <w:pPr>
        <w:pStyle w:val="FootnoteText"/>
        <w:rPr>
          <w:rFonts w:ascii="Arial" w:hAnsi="Arial" w:cs="Arial"/>
          <w:lang w:val="en-ZA"/>
        </w:rPr>
      </w:pPr>
      <w:r w:rsidRPr="00BD333F">
        <w:rPr>
          <w:rStyle w:val="FootnoteReference"/>
          <w:rFonts w:ascii="Arial" w:hAnsi="Arial" w:cs="Arial"/>
        </w:rPr>
        <w:footnoteRef/>
      </w:r>
      <w:r w:rsidRPr="00BD333F">
        <w:rPr>
          <w:rFonts w:ascii="Arial" w:hAnsi="Arial" w:cs="Arial"/>
        </w:rPr>
        <w:t xml:space="preserve"> </w:t>
      </w:r>
      <w:proofErr w:type="gramStart"/>
      <w:r w:rsidRPr="00BD333F">
        <w:rPr>
          <w:rFonts w:ascii="Arial" w:hAnsi="Arial" w:cs="Arial"/>
        </w:rPr>
        <w:t>Transcript, page 965.</w:t>
      </w:r>
      <w:proofErr w:type="gramEnd"/>
    </w:p>
  </w:footnote>
  <w:footnote w:id="64">
    <w:p w:rsidR="00F02DA6" w:rsidRPr="006A768D" w:rsidRDefault="00F02DA6">
      <w:pPr>
        <w:pStyle w:val="FootnoteText"/>
        <w:rPr>
          <w:rFonts w:ascii="Arial" w:hAnsi="Arial" w:cs="Arial"/>
          <w:lang w:val="en-ZA"/>
        </w:rPr>
      </w:pPr>
      <w:r w:rsidRPr="0013047A">
        <w:rPr>
          <w:rStyle w:val="FootnoteReference"/>
          <w:rFonts w:ascii="Arial" w:hAnsi="Arial" w:cs="Arial"/>
        </w:rPr>
        <w:footnoteRef/>
      </w:r>
      <w:r w:rsidRPr="0013047A">
        <w:rPr>
          <w:rFonts w:ascii="Arial" w:hAnsi="Arial" w:cs="Arial"/>
        </w:rPr>
        <w:t xml:space="preserve"> </w:t>
      </w:r>
      <w:r w:rsidRPr="006A768D">
        <w:rPr>
          <w:rFonts w:ascii="Arial" w:hAnsi="Arial" w:cs="Arial"/>
        </w:rPr>
        <w:t>Loukidis’ witness statement, paragraphs 24 and 25, record page 2342; Coady’s witness statement, paragraph 2</w:t>
      </w:r>
      <w:r>
        <w:rPr>
          <w:rFonts w:ascii="Arial" w:hAnsi="Arial" w:cs="Arial"/>
        </w:rPr>
        <w:t>3</w:t>
      </w:r>
      <w:r w:rsidRPr="006A768D">
        <w:rPr>
          <w:rFonts w:ascii="Arial" w:hAnsi="Arial" w:cs="Arial"/>
        </w:rPr>
        <w:t>, record page 2349; Moosa’s witness statement, paragraph 35, record page 2394; Beal’s witness statement, paragraphs 15 and 39, record pages 2377 and 2381; Neethling’s witness statement, paragraph 15, record page 2408; Khan’s witness statement, paragraph 23, record page 2465; and Stephen’s witness statement, paragraphs 35 to 37, record page 2426.</w:t>
      </w:r>
    </w:p>
  </w:footnote>
  <w:footnote w:id="65">
    <w:p w:rsidR="00F02DA6" w:rsidRPr="00614968" w:rsidRDefault="00F02DA6">
      <w:pPr>
        <w:pStyle w:val="FootnoteText"/>
        <w:rPr>
          <w:lang w:val="en-ZA"/>
        </w:rPr>
      </w:pPr>
      <w:r>
        <w:rPr>
          <w:rStyle w:val="FootnoteReference"/>
        </w:rPr>
        <w:footnoteRef/>
      </w:r>
      <w:r>
        <w:t xml:space="preserve"> </w:t>
      </w:r>
      <w:r w:rsidRPr="006A768D">
        <w:rPr>
          <w:rFonts w:ascii="Arial" w:hAnsi="Arial" w:cs="Arial"/>
        </w:rPr>
        <w:t>Coady’s witness statement, paragraph 23, record page 2349</w:t>
      </w:r>
      <w:r>
        <w:rPr>
          <w:rFonts w:ascii="Arial" w:hAnsi="Arial" w:cs="Arial"/>
        </w:rPr>
        <w:t>; Beal’s witness statement, paragraph 41, record page 2382; Loukidis’ witness statement, paragraphs 28 and 29, record page 2343; Duma’s witness statement, paragraph 28, record page 2318; Hahn’s witness statement, paragraph 31, record page 2308; Loukidis, transcript, page 549.</w:t>
      </w:r>
    </w:p>
  </w:footnote>
  <w:footnote w:id="66">
    <w:p w:rsidR="00F02DA6" w:rsidRPr="006A768D" w:rsidRDefault="00F02DA6">
      <w:pPr>
        <w:pStyle w:val="FootnoteText"/>
        <w:rPr>
          <w:rFonts w:ascii="Arial" w:hAnsi="Arial" w:cs="Arial"/>
          <w:lang w:val="en-ZA"/>
        </w:rPr>
      </w:pPr>
      <w:r w:rsidRPr="007E2FFE">
        <w:rPr>
          <w:rStyle w:val="FootnoteReference"/>
          <w:rFonts w:ascii="Arial" w:hAnsi="Arial" w:cs="Arial"/>
        </w:rPr>
        <w:footnoteRef/>
      </w:r>
      <w:r w:rsidRPr="007E2FFE">
        <w:rPr>
          <w:rFonts w:ascii="Arial" w:hAnsi="Arial" w:cs="Arial"/>
        </w:rPr>
        <w:t xml:space="preserve"> </w:t>
      </w:r>
      <w:proofErr w:type="gramStart"/>
      <w:r w:rsidRPr="006A768D">
        <w:rPr>
          <w:rFonts w:ascii="Arial" w:hAnsi="Arial" w:cs="Arial"/>
        </w:rPr>
        <w:t>Perrow, transcript page 1002; Neethling’s witness statement, paragraph 24, record page 2410.</w:t>
      </w:r>
      <w:proofErr w:type="gramEnd"/>
    </w:p>
  </w:footnote>
  <w:footnote w:id="67">
    <w:p w:rsidR="00F02DA6" w:rsidRPr="006A768D" w:rsidRDefault="00F02DA6">
      <w:pPr>
        <w:pStyle w:val="FootnoteText"/>
        <w:rPr>
          <w:rFonts w:ascii="Arial" w:hAnsi="Arial" w:cs="Arial"/>
          <w:lang w:val="en-ZA"/>
        </w:rPr>
      </w:pPr>
      <w:r w:rsidRPr="006A768D">
        <w:rPr>
          <w:rStyle w:val="FootnoteReference"/>
          <w:rFonts w:ascii="Arial" w:hAnsi="Arial" w:cs="Arial"/>
        </w:rPr>
        <w:footnoteRef/>
      </w:r>
      <w:r w:rsidRPr="006A768D">
        <w:rPr>
          <w:rFonts w:ascii="Arial" w:hAnsi="Arial" w:cs="Arial"/>
        </w:rPr>
        <w:t xml:space="preserve"> </w:t>
      </w:r>
      <w:proofErr w:type="gramStart"/>
      <w:r w:rsidRPr="006A768D">
        <w:rPr>
          <w:rFonts w:ascii="Arial" w:hAnsi="Arial" w:cs="Arial"/>
        </w:rPr>
        <w:t>Loukidis’ witness statement, paragraph 24, record page 2342; Beal’s witness statement, paragraph 40, record page 2382.</w:t>
      </w:r>
      <w:proofErr w:type="gramEnd"/>
    </w:p>
  </w:footnote>
  <w:footnote w:id="68">
    <w:p w:rsidR="00F02DA6" w:rsidRPr="006A768D" w:rsidRDefault="00F02DA6">
      <w:pPr>
        <w:pStyle w:val="FootnoteText"/>
        <w:rPr>
          <w:rFonts w:ascii="Arial" w:hAnsi="Arial" w:cs="Arial"/>
          <w:lang w:val="en-ZA"/>
        </w:rPr>
      </w:pPr>
      <w:r w:rsidRPr="006A768D">
        <w:rPr>
          <w:rStyle w:val="FootnoteReference"/>
          <w:rFonts w:ascii="Arial" w:hAnsi="Arial" w:cs="Arial"/>
        </w:rPr>
        <w:footnoteRef/>
      </w:r>
      <w:r w:rsidRPr="006A768D">
        <w:rPr>
          <w:rFonts w:ascii="Arial" w:hAnsi="Arial" w:cs="Arial"/>
        </w:rPr>
        <w:t xml:space="preserve"> Perrow’s witness statement, paragraph 63, record page 2488.</w:t>
      </w:r>
    </w:p>
  </w:footnote>
  <w:footnote w:id="69">
    <w:p w:rsidR="00F02DA6" w:rsidRPr="00F31FE1" w:rsidRDefault="00F02DA6">
      <w:pPr>
        <w:pStyle w:val="FootnoteText"/>
        <w:rPr>
          <w:rFonts w:ascii="Arial" w:hAnsi="Arial" w:cs="Arial"/>
          <w:lang w:val="en-ZA"/>
        </w:rPr>
      </w:pPr>
      <w:r w:rsidRPr="006A768D">
        <w:rPr>
          <w:rStyle w:val="FootnoteReference"/>
          <w:rFonts w:ascii="Arial" w:hAnsi="Arial" w:cs="Arial"/>
        </w:rPr>
        <w:footnoteRef/>
      </w:r>
      <w:r w:rsidRPr="006A768D">
        <w:rPr>
          <w:rFonts w:ascii="Arial" w:hAnsi="Arial" w:cs="Arial"/>
        </w:rPr>
        <w:t xml:space="preserve"> Coady’s witness statement, paragraph 23, record page 2349; Yunus’ witness statement, paragraph 16, record page 2370; Neethling’s witness statement, paragraph 23, record page 2410; Du Plessis’ witness statement, paragraph 23, record page 2356.</w:t>
      </w:r>
    </w:p>
  </w:footnote>
  <w:footnote w:id="70">
    <w:p w:rsidR="00F02DA6" w:rsidRPr="006A768D" w:rsidRDefault="00F02DA6" w:rsidP="00684AFF">
      <w:pPr>
        <w:pStyle w:val="FootnoteText"/>
        <w:rPr>
          <w:rFonts w:ascii="Arial" w:hAnsi="Arial" w:cs="Arial"/>
          <w:lang w:val="en-ZA"/>
        </w:rPr>
      </w:pPr>
      <w:r w:rsidRPr="006A768D">
        <w:rPr>
          <w:rStyle w:val="FootnoteReference"/>
          <w:rFonts w:ascii="Arial" w:hAnsi="Arial" w:cs="Arial"/>
        </w:rPr>
        <w:footnoteRef/>
      </w:r>
      <w:r w:rsidRPr="006A768D">
        <w:rPr>
          <w:rFonts w:ascii="Arial" w:hAnsi="Arial" w:cs="Arial"/>
        </w:rPr>
        <w:t xml:space="preserve"> </w:t>
      </w:r>
      <w:proofErr w:type="gramStart"/>
      <w:r w:rsidRPr="006A768D">
        <w:rPr>
          <w:rFonts w:ascii="Arial" w:hAnsi="Arial" w:cs="Arial"/>
        </w:rPr>
        <w:t>Hodge, transcript pages 1418 and 1419.</w:t>
      </w:r>
      <w:proofErr w:type="gramEnd"/>
    </w:p>
  </w:footnote>
  <w:footnote w:id="71">
    <w:p w:rsidR="00F02DA6" w:rsidRPr="006A768D" w:rsidRDefault="00F02DA6" w:rsidP="00730047">
      <w:pPr>
        <w:pStyle w:val="FootnoteText"/>
        <w:rPr>
          <w:rFonts w:ascii="Arial" w:hAnsi="Arial" w:cs="Arial"/>
          <w:lang w:val="en-ZA"/>
        </w:rPr>
      </w:pPr>
      <w:r w:rsidRPr="006A768D">
        <w:rPr>
          <w:rStyle w:val="FootnoteReference"/>
          <w:rFonts w:ascii="Arial" w:hAnsi="Arial" w:cs="Arial"/>
        </w:rPr>
        <w:footnoteRef/>
      </w:r>
      <w:r w:rsidRPr="006A768D">
        <w:rPr>
          <w:rFonts w:ascii="Arial" w:hAnsi="Arial" w:cs="Arial"/>
        </w:rPr>
        <w:t xml:space="preserve"> </w:t>
      </w:r>
      <w:proofErr w:type="gramStart"/>
      <w:r w:rsidRPr="006A768D">
        <w:rPr>
          <w:rFonts w:ascii="Arial" w:hAnsi="Arial" w:cs="Arial"/>
        </w:rPr>
        <w:t>Hodge, transcript pages 1420 and 1421.</w:t>
      </w:r>
      <w:proofErr w:type="gramEnd"/>
    </w:p>
  </w:footnote>
  <w:footnote w:id="72">
    <w:p w:rsidR="00F02DA6" w:rsidRPr="006A768D" w:rsidRDefault="00F02DA6" w:rsidP="001E69FC">
      <w:pPr>
        <w:pStyle w:val="FootnoteText"/>
        <w:rPr>
          <w:rFonts w:ascii="Arial" w:hAnsi="Arial" w:cs="Arial"/>
          <w:lang w:val="en-ZA"/>
        </w:rPr>
      </w:pPr>
      <w:r w:rsidRPr="006A768D">
        <w:rPr>
          <w:rStyle w:val="FootnoteReference"/>
          <w:rFonts w:ascii="Arial" w:hAnsi="Arial" w:cs="Arial"/>
        </w:rPr>
        <w:footnoteRef/>
      </w:r>
      <w:r w:rsidRPr="006A768D">
        <w:rPr>
          <w:rFonts w:ascii="Arial" w:hAnsi="Arial" w:cs="Arial"/>
        </w:rPr>
        <w:t xml:space="preserve"> </w:t>
      </w:r>
      <w:proofErr w:type="gramStart"/>
      <w:r w:rsidRPr="006A768D">
        <w:rPr>
          <w:rFonts w:ascii="Arial" w:hAnsi="Arial" w:cs="Arial"/>
          <w:lang w:val="en-ZA"/>
        </w:rPr>
        <w:t>Average mark-up over a combination of imports from Singapore and Taiwan.</w:t>
      </w:r>
      <w:proofErr w:type="gramEnd"/>
    </w:p>
  </w:footnote>
  <w:footnote w:id="73">
    <w:p w:rsidR="00F02DA6" w:rsidRPr="00716C80" w:rsidRDefault="00F02DA6">
      <w:pPr>
        <w:pStyle w:val="FootnoteText"/>
        <w:rPr>
          <w:lang w:val="en-ZA"/>
        </w:rPr>
      </w:pPr>
      <w:r w:rsidRPr="006A768D">
        <w:rPr>
          <w:rStyle w:val="FootnoteReference"/>
          <w:rFonts w:ascii="Arial" w:hAnsi="Arial" w:cs="Arial"/>
        </w:rPr>
        <w:footnoteRef/>
      </w:r>
      <w:r w:rsidRPr="006A768D">
        <w:rPr>
          <w:rFonts w:ascii="Arial" w:hAnsi="Arial" w:cs="Arial"/>
        </w:rPr>
        <w:t xml:space="preserve"> </w:t>
      </w:r>
      <w:proofErr w:type="gramStart"/>
      <w:r w:rsidRPr="006A768D">
        <w:rPr>
          <w:rFonts w:ascii="Arial" w:hAnsi="Arial" w:cs="Arial"/>
        </w:rPr>
        <w:t>Genesis Report, Table 2, record page 2694.</w:t>
      </w:r>
      <w:proofErr w:type="gramEnd"/>
    </w:p>
  </w:footnote>
  <w:footnote w:id="74">
    <w:p w:rsidR="00F02DA6" w:rsidRPr="007842DA" w:rsidRDefault="00F02DA6" w:rsidP="006E3D70">
      <w:pPr>
        <w:pStyle w:val="FootnoteText"/>
        <w:rPr>
          <w:rFonts w:ascii="Arial" w:hAnsi="Arial" w:cs="Arial"/>
          <w:lang w:val="en-ZA"/>
        </w:rPr>
      </w:pPr>
      <w:r w:rsidRPr="00151B06">
        <w:rPr>
          <w:rStyle w:val="FootnoteReference"/>
          <w:rFonts w:ascii="Arial" w:hAnsi="Arial" w:cs="Arial"/>
        </w:rPr>
        <w:footnoteRef/>
      </w:r>
      <w:r w:rsidRPr="00151B06">
        <w:rPr>
          <w:rFonts w:ascii="Arial" w:hAnsi="Arial" w:cs="Arial"/>
        </w:rPr>
        <w:t xml:space="preserve"> </w:t>
      </w:r>
      <w:r w:rsidRPr="006A768D">
        <w:rPr>
          <w:rFonts w:ascii="Arial" w:hAnsi="Arial" w:cs="Arial"/>
        </w:rPr>
        <w:t xml:space="preserve">For Hodge’s explanation of these data and his </w:t>
      </w:r>
      <w:r>
        <w:rPr>
          <w:rFonts w:ascii="Arial" w:hAnsi="Arial" w:cs="Arial"/>
        </w:rPr>
        <w:t>interpretation</w:t>
      </w:r>
      <w:r w:rsidRPr="006A768D">
        <w:rPr>
          <w:rFonts w:ascii="Arial" w:hAnsi="Arial" w:cs="Arial"/>
        </w:rPr>
        <w:t>, see transcript pages 1418 to 1423.</w:t>
      </w:r>
    </w:p>
  </w:footnote>
  <w:footnote w:id="75">
    <w:p w:rsidR="00F02DA6" w:rsidRPr="005140B1" w:rsidRDefault="00F02DA6" w:rsidP="00145248">
      <w:pPr>
        <w:pStyle w:val="FootnoteText"/>
        <w:rPr>
          <w:rFonts w:ascii="Arial" w:hAnsi="Arial" w:cs="Arial"/>
          <w:lang w:val="en-ZA"/>
        </w:rPr>
      </w:pPr>
      <w:r w:rsidRPr="005140B1">
        <w:rPr>
          <w:rStyle w:val="FootnoteReference"/>
          <w:rFonts w:ascii="Arial" w:hAnsi="Arial" w:cs="Arial"/>
        </w:rPr>
        <w:footnoteRef/>
      </w:r>
      <w:r w:rsidRPr="005140B1">
        <w:rPr>
          <w:rFonts w:ascii="Arial" w:hAnsi="Arial" w:cs="Arial"/>
        </w:rPr>
        <w:t xml:space="preserve"> </w:t>
      </w:r>
      <w:proofErr w:type="gramStart"/>
      <w:r w:rsidRPr="005140B1">
        <w:rPr>
          <w:rFonts w:ascii="Arial" w:hAnsi="Arial" w:cs="Arial"/>
        </w:rPr>
        <w:t>Transcript, page 22.</w:t>
      </w:r>
      <w:proofErr w:type="gramEnd"/>
    </w:p>
  </w:footnote>
  <w:footnote w:id="76">
    <w:p w:rsidR="00F02DA6" w:rsidRPr="005140B1" w:rsidRDefault="00F02DA6">
      <w:pPr>
        <w:pStyle w:val="FootnoteText"/>
        <w:rPr>
          <w:rFonts w:ascii="Arial" w:hAnsi="Arial" w:cs="Arial"/>
          <w:lang w:val="en-ZA"/>
        </w:rPr>
      </w:pPr>
      <w:r w:rsidRPr="005140B1">
        <w:rPr>
          <w:rStyle w:val="FootnoteReference"/>
          <w:rFonts w:ascii="Arial" w:hAnsi="Arial" w:cs="Arial"/>
        </w:rPr>
        <w:footnoteRef/>
      </w:r>
      <w:r w:rsidRPr="005140B1">
        <w:rPr>
          <w:rFonts w:ascii="Arial" w:hAnsi="Arial" w:cs="Arial"/>
        </w:rPr>
        <w:t xml:space="preserve"> </w:t>
      </w:r>
      <w:proofErr w:type="gramStart"/>
      <w:r w:rsidRPr="00474AB1">
        <w:rPr>
          <w:rFonts w:ascii="Arial" w:hAnsi="Arial" w:cs="Arial"/>
          <w:lang w:val="en-ZA"/>
        </w:rPr>
        <w:t>Transcript, page 1634.</w:t>
      </w:r>
      <w:proofErr w:type="gramEnd"/>
    </w:p>
  </w:footnote>
  <w:footnote w:id="77">
    <w:p w:rsidR="00F02DA6" w:rsidRPr="005140B1" w:rsidRDefault="00F02DA6" w:rsidP="003F0C19">
      <w:pPr>
        <w:pStyle w:val="FootnoteText"/>
        <w:rPr>
          <w:rFonts w:ascii="Arial" w:hAnsi="Arial" w:cs="Arial"/>
          <w:lang w:val="en-ZA"/>
        </w:rPr>
      </w:pPr>
      <w:r w:rsidRPr="005140B1">
        <w:rPr>
          <w:rStyle w:val="FootnoteReference"/>
          <w:rFonts w:ascii="Arial" w:hAnsi="Arial" w:cs="Arial"/>
        </w:rPr>
        <w:footnoteRef/>
      </w:r>
      <w:r w:rsidRPr="005140B1">
        <w:rPr>
          <w:rFonts w:ascii="Arial" w:hAnsi="Arial" w:cs="Arial"/>
        </w:rPr>
        <w:t xml:space="preserve"> Souchon’s witness statement, paragraph 11.2, record page 2667.</w:t>
      </w:r>
    </w:p>
  </w:footnote>
  <w:footnote w:id="78">
    <w:p w:rsidR="00F02DA6" w:rsidRPr="005140B1" w:rsidRDefault="00F02DA6" w:rsidP="003F0C19">
      <w:pPr>
        <w:pStyle w:val="FootnoteText"/>
        <w:rPr>
          <w:rFonts w:ascii="Arial" w:hAnsi="Arial" w:cs="Arial"/>
          <w:lang w:val="en-ZA"/>
        </w:rPr>
      </w:pPr>
      <w:r w:rsidRPr="005140B1">
        <w:rPr>
          <w:rStyle w:val="FootnoteReference"/>
          <w:rFonts w:ascii="Arial" w:hAnsi="Arial" w:cs="Arial"/>
        </w:rPr>
        <w:footnoteRef/>
      </w:r>
      <w:r w:rsidRPr="005140B1">
        <w:rPr>
          <w:rFonts w:ascii="Arial" w:hAnsi="Arial" w:cs="Arial"/>
        </w:rPr>
        <w:t xml:space="preserve"> </w:t>
      </w:r>
      <w:proofErr w:type="gramStart"/>
      <w:r w:rsidRPr="005140B1">
        <w:rPr>
          <w:rFonts w:ascii="Arial" w:hAnsi="Arial" w:cs="Arial"/>
        </w:rPr>
        <w:t>Transcript, page 1140.</w:t>
      </w:r>
      <w:proofErr w:type="gramEnd"/>
    </w:p>
  </w:footnote>
  <w:footnote w:id="79">
    <w:p w:rsidR="00F02DA6" w:rsidRPr="005140B1" w:rsidRDefault="00F02DA6" w:rsidP="00A625AE">
      <w:pPr>
        <w:pStyle w:val="FootnoteText"/>
        <w:rPr>
          <w:rFonts w:ascii="Arial" w:hAnsi="Arial" w:cs="Arial"/>
          <w:lang w:val="en-ZA"/>
        </w:rPr>
      </w:pPr>
      <w:r w:rsidRPr="005140B1">
        <w:rPr>
          <w:rStyle w:val="FootnoteReference"/>
          <w:rFonts w:ascii="Arial" w:hAnsi="Arial" w:cs="Arial"/>
        </w:rPr>
        <w:footnoteRef/>
      </w:r>
      <w:r w:rsidRPr="005140B1">
        <w:rPr>
          <w:rFonts w:ascii="Arial" w:hAnsi="Arial" w:cs="Arial"/>
        </w:rPr>
        <w:t xml:space="preserve"> Exhibit 28</w:t>
      </w:r>
      <w:r>
        <w:rPr>
          <w:rFonts w:ascii="Arial" w:hAnsi="Arial" w:cs="Arial"/>
        </w:rPr>
        <w:t xml:space="preserve">: </w:t>
      </w:r>
      <w:r w:rsidRPr="005140B1">
        <w:rPr>
          <w:rFonts w:ascii="Arial" w:hAnsi="Arial" w:cs="Arial"/>
        </w:rPr>
        <w:t>Arkema</w:t>
      </w:r>
      <w:r>
        <w:rPr>
          <w:rFonts w:ascii="Arial" w:hAnsi="Arial" w:cs="Arial"/>
        </w:rPr>
        <w:t>’s</w:t>
      </w:r>
      <w:r w:rsidRPr="005140B1">
        <w:rPr>
          <w:rFonts w:ascii="Arial" w:hAnsi="Arial" w:cs="Arial"/>
        </w:rPr>
        <w:t xml:space="preserve"> UPR and gel coat sales volumes for 2011, 2012 and 2013; transcript, page 1143.</w:t>
      </w:r>
    </w:p>
  </w:footnote>
  <w:footnote w:id="80">
    <w:p w:rsidR="00F02DA6" w:rsidRPr="005140B1" w:rsidRDefault="00F02DA6" w:rsidP="003F0C19">
      <w:pPr>
        <w:pStyle w:val="FootnoteText"/>
        <w:rPr>
          <w:rFonts w:ascii="Arial" w:hAnsi="Arial" w:cs="Arial"/>
          <w:lang w:val="en-ZA"/>
        </w:rPr>
      </w:pPr>
      <w:r w:rsidRPr="005140B1">
        <w:rPr>
          <w:rStyle w:val="FootnoteReference"/>
          <w:rFonts w:ascii="Arial" w:hAnsi="Arial" w:cs="Arial"/>
        </w:rPr>
        <w:footnoteRef/>
      </w:r>
      <w:r w:rsidRPr="005140B1">
        <w:rPr>
          <w:rFonts w:ascii="Arial" w:hAnsi="Arial" w:cs="Arial"/>
        </w:rPr>
        <w:t xml:space="preserve"> Souchon’s witness statement, paragraph 11.3, record page 2667. </w:t>
      </w:r>
      <w:proofErr w:type="gramStart"/>
      <w:r w:rsidRPr="005140B1">
        <w:rPr>
          <w:rFonts w:ascii="Arial" w:hAnsi="Arial" w:cs="Arial"/>
        </w:rPr>
        <w:t>Transcript, page 1143.</w:t>
      </w:r>
      <w:proofErr w:type="gramEnd"/>
    </w:p>
  </w:footnote>
  <w:footnote w:id="81">
    <w:p w:rsidR="00F02DA6" w:rsidRPr="005140B1" w:rsidRDefault="00F02DA6" w:rsidP="003F0C19">
      <w:pPr>
        <w:pStyle w:val="FootnoteText"/>
        <w:rPr>
          <w:rFonts w:ascii="Arial" w:hAnsi="Arial" w:cs="Arial"/>
          <w:lang w:val="en-ZA"/>
        </w:rPr>
      </w:pPr>
      <w:r w:rsidRPr="005140B1">
        <w:rPr>
          <w:rStyle w:val="FootnoteReference"/>
          <w:rFonts w:ascii="Arial" w:hAnsi="Arial" w:cs="Arial"/>
        </w:rPr>
        <w:footnoteRef/>
      </w:r>
      <w:r w:rsidRPr="005140B1">
        <w:rPr>
          <w:rFonts w:ascii="Arial" w:hAnsi="Arial" w:cs="Arial"/>
        </w:rPr>
        <w:t xml:space="preserve"> </w:t>
      </w:r>
      <w:proofErr w:type="gramStart"/>
      <w:r w:rsidRPr="005140B1">
        <w:rPr>
          <w:rFonts w:ascii="Arial" w:hAnsi="Arial" w:cs="Arial"/>
          <w:lang w:val="en-US"/>
        </w:rPr>
        <w:t>Leveugle, transcript, page 1355.</w:t>
      </w:r>
      <w:proofErr w:type="gramEnd"/>
    </w:p>
  </w:footnote>
  <w:footnote w:id="82">
    <w:p w:rsidR="00F02DA6" w:rsidRPr="005140B1" w:rsidRDefault="00F02DA6">
      <w:pPr>
        <w:pStyle w:val="FootnoteText"/>
        <w:rPr>
          <w:rFonts w:ascii="Arial" w:hAnsi="Arial" w:cs="Arial"/>
          <w:lang w:val="en-ZA"/>
        </w:rPr>
      </w:pPr>
      <w:r w:rsidRPr="005140B1">
        <w:rPr>
          <w:rStyle w:val="FootnoteReference"/>
          <w:rFonts w:ascii="Arial" w:hAnsi="Arial" w:cs="Arial"/>
        </w:rPr>
        <w:footnoteRef/>
      </w:r>
      <w:r w:rsidRPr="005140B1">
        <w:rPr>
          <w:rFonts w:ascii="Arial" w:hAnsi="Arial" w:cs="Arial"/>
        </w:rPr>
        <w:t xml:space="preserve"> Leveugle’s witness statement, paragraph 12.1, record page 2524.</w:t>
      </w:r>
    </w:p>
  </w:footnote>
  <w:footnote w:id="83">
    <w:p w:rsidR="00F02DA6" w:rsidRPr="001E1F98" w:rsidRDefault="00F02DA6" w:rsidP="003F0C19">
      <w:pPr>
        <w:pStyle w:val="FootnoteText"/>
        <w:ind w:left="142" w:hanging="142"/>
        <w:rPr>
          <w:rFonts w:ascii="Arial" w:hAnsi="Arial" w:cs="Arial"/>
          <w:lang w:val="en-US"/>
        </w:rPr>
      </w:pPr>
      <w:r w:rsidRPr="005140B1">
        <w:rPr>
          <w:rStyle w:val="FootnoteReference"/>
          <w:rFonts w:ascii="Arial" w:hAnsi="Arial" w:cs="Arial"/>
        </w:rPr>
        <w:footnoteRef/>
      </w:r>
      <w:r w:rsidRPr="005140B1">
        <w:rPr>
          <w:rFonts w:ascii="Arial" w:hAnsi="Arial" w:cs="Arial"/>
        </w:rPr>
        <w:t xml:space="preserve"> </w:t>
      </w:r>
      <w:r w:rsidRPr="005140B1">
        <w:rPr>
          <w:rFonts w:ascii="Arial" w:hAnsi="Arial" w:cs="Arial"/>
          <w:lang w:val="en-US"/>
        </w:rPr>
        <w:t xml:space="preserve">Counsel for the merging parties raised the </w:t>
      </w:r>
      <w:proofErr w:type="spellStart"/>
      <w:r w:rsidRPr="005140B1">
        <w:rPr>
          <w:rFonts w:ascii="Arial" w:hAnsi="Arial" w:cs="Arial"/>
          <w:lang w:val="en-US"/>
        </w:rPr>
        <w:t>spectre</w:t>
      </w:r>
      <w:proofErr w:type="spellEnd"/>
      <w:r w:rsidRPr="005140B1">
        <w:rPr>
          <w:rFonts w:ascii="Arial" w:hAnsi="Arial" w:cs="Arial"/>
          <w:lang w:val="en-US"/>
        </w:rPr>
        <w:t xml:space="preserve"> of competition problems relating to a possible purchase by this party. However, it seems likely, on the evidence before us, that the potential purchase</w:t>
      </w:r>
      <w:r w:rsidRPr="009B4D52">
        <w:rPr>
          <w:rFonts w:ascii="Arial" w:hAnsi="Arial" w:cs="Arial"/>
          <w:lang w:val="en-US"/>
        </w:rPr>
        <w:t xml:space="preserve"> </w:t>
      </w:r>
      <w:r w:rsidRPr="001E1F98">
        <w:rPr>
          <w:rFonts w:ascii="Arial" w:hAnsi="Arial" w:cs="Arial"/>
          <w:lang w:val="en-US"/>
        </w:rPr>
        <w:t>by this third party would be a less anti-competitive alternative.</w:t>
      </w:r>
      <w:r w:rsidRPr="001E1F98">
        <w:rPr>
          <w:rFonts w:ascii="Arial" w:hAnsi="Arial" w:cs="Arial"/>
        </w:rPr>
        <w:t xml:space="preserve"> However, nothing regarding our final decision to conditionally approve the proposed transaction turns on this.</w:t>
      </w:r>
    </w:p>
  </w:footnote>
  <w:footnote w:id="84">
    <w:p w:rsidR="00F02DA6" w:rsidRPr="001E1F98" w:rsidRDefault="00F02DA6" w:rsidP="003B2BC6">
      <w:pPr>
        <w:pStyle w:val="FootnoteText"/>
        <w:rPr>
          <w:rFonts w:ascii="Arial" w:hAnsi="Arial" w:cs="Arial"/>
          <w:lang w:val="en-ZA"/>
        </w:rPr>
      </w:pPr>
      <w:r w:rsidRPr="001E1F98">
        <w:rPr>
          <w:rStyle w:val="FootnoteReference"/>
          <w:rFonts w:ascii="Arial" w:hAnsi="Arial" w:cs="Arial"/>
        </w:rPr>
        <w:footnoteRef/>
      </w:r>
      <w:r w:rsidRPr="001E1F98">
        <w:rPr>
          <w:rFonts w:ascii="Arial" w:hAnsi="Arial" w:cs="Arial"/>
        </w:rPr>
        <w:t xml:space="preserve"> </w:t>
      </w:r>
      <w:r w:rsidRPr="001E1F98">
        <w:rPr>
          <w:rFonts w:ascii="Arial" w:hAnsi="Arial" w:cs="Arial"/>
          <w:lang w:val="en-US"/>
        </w:rPr>
        <w:t>Commission’s Report, page 11.</w:t>
      </w:r>
    </w:p>
  </w:footnote>
  <w:footnote w:id="85">
    <w:p w:rsidR="00F02DA6" w:rsidRPr="001E1F98" w:rsidRDefault="00F02DA6">
      <w:pPr>
        <w:pStyle w:val="FootnoteText"/>
        <w:rPr>
          <w:rFonts w:ascii="Arial" w:hAnsi="Arial" w:cs="Arial"/>
          <w:lang w:val="en-ZA"/>
        </w:rPr>
      </w:pPr>
      <w:r w:rsidRPr="001E1F98">
        <w:rPr>
          <w:rStyle w:val="FootnoteReference"/>
          <w:rFonts w:ascii="Arial" w:hAnsi="Arial" w:cs="Arial"/>
        </w:rPr>
        <w:footnoteRef/>
      </w:r>
      <w:r w:rsidRPr="001E1F98">
        <w:rPr>
          <w:rFonts w:ascii="Arial" w:hAnsi="Arial" w:cs="Arial"/>
        </w:rPr>
        <w:t xml:space="preserve"> </w:t>
      </w:r>
      <w:proofErr w:type="gramStart"/>
      <w:r>
        <w:rPr>
          <w:rFonts w:ascii="Arial" w:hAnsi="Arial" w:cs="Arial"/>
        </w:rPr>
        <w:t>Beemiah, transcript</w:t>
      </w:r>
      <w:r w:rsidRPr="00B907DA">
        <w:rPr>
          <w:rFonts w:ascii="Arial" w:hAnsi="Arial" w:cs="Arial"/>
          <w:lang w:val="en-ZA"/>
        </w:rPr>
        <w:t xml:space="preserve"> page 678.</w:t>
      </w:r>
      <w:proofErr w:type="gramEnd"/>
    </w:p>
  </w:footnote>
  <w:footnote w:id="86">
    <w:p w:rsidR="00F02DA6" w:rsidRPr="001E1F98" w:rsidRDefault="00F02DA6" w:rsidP="00931903">
      <w:pPr>
        <w:pStyle w:val="FootnoteText"/>
        <w:rPr>
          <w:rFonts w:ascii="Arial" w:hAnsi="Arial" w:cs="Arial"/>
          <w:lang w:val="en-ZA"/>
        </w:rPr>
      </w:pPr>
      <w:r w:rsidRPr="001E1F98">
        <w:rPr>
          <w:rStyle w:val="FootnoteReference"/>
          <w:rFonts w:ascii="Arial" w:hAnsi="Arial" w:cs="Arial"/>
        </w:rPr>
        <w:footnoteRef/>
      </w:r>
      <w:r w:rsidRPr="001E1F98">
        <w:rPr>
          <w:rFonts w:ascii="Arial" w:hAnsi="Arial" w:cs="Arial"/>
        </w:rPr>
        <w:t xml:space="preserve"> </w:t>
      </w:r>
      <w:proofErr w:type="gramStart"/>
      <w:r w:rsidRPr="001E1F98">
        <w:rPr>
          <w:rFonts w:ascii="Arial" w:hAnsi="Arial" w:cs="Arial"/>
        </w:rPr>
        <w:t>Page 8 of the Commission’s Recommendation.</w:t>
      </w:r>
      <w:proofErr w:type="gramEnd"/>
    </w:p>
  </w:footnote>
  <w:footnote w:id="87">
    <w:p w:rsidR="00F02DA6" w:rsidRPr="001E1F98" w:rsidRDefault="00F02DA6" w:rsidP="00A85548">
      <w:pPr>
        <w:pStyle w:val="FootnoteText"/>
        <w:rPr>
          <w:rFonts w:ascii="Arial" w:hAnsi="Arial" w:cs="Arial"/>
          <w:lang w:val="en-ZA"/>
        </w:rPr>
      </w:pPr>
      <w:r w:rsidRPr="001E1F98">
        <w:rPr>
          <w:rStyle w:val="FootnoteReference"/>
          <w:rFonts w:ascii="Arial" w:hAnsi="Arial" w:cs="Arial"/>
        </w:rPr>
        <w:footnoteRef/>
      </w:r>
      <w:r w:rsidRPr="001E1F98">
        <w:rPr>
          <w:rFonts w:ascii="Arial" w:hAnsi="Arial" w:cs="Arial"/>
        </w:rPr>
        <w:t xml:space="preserve"> </w:t>
      </w:r>
      <w:proofErr w:type="gramStart"/>
      <w:r w:rsidRPr="001E1F98">
        <w:rPr>
          <w:rFonts w:ascii="Arial" w:hAnsi="Arial" w:cs="Arial"/>
        </w:rPr>
        <w:t>Pages 38 and 39 of the Commission’s Recommendation.</w:t>
      </w:r>
      <w:proofErr w:type="gramEnd"/>
    </w:p>
  </w:footnote>
  <w:footnote w:id="88">
    <w:p w:rsidR="00F02DA6" w:rsidRPr="001E1F98" w:rsidRDefault="00F02DA6" w:rsidP="00931903">
      <w:pPr>
        <w:pStyle w:val="FootnoteText"/>
        <w:rPr>
          <w:rFonts w:ascii="Arial" w:hAnsi="Arial" w:cs="Arial"/>
          <w:lang w:val="en-ZA"/>
        </w:rPr>
      </w:pPr>
      <w:r w:rsidRPr="001E1F98">
        <w:rPr>
          <w:rStyle w:val="FootnoteReference"/>
          <w:rFonts w:ascii="Arial" w:hAnsi="Arial" w:cs="Arial"/>
        </w:rPr>
        <w:footnoteRef/>
      </w:r>
      <w:r w:rsidRPr="001E1F98">
        <w:rPr>
          <w:rFonts w:ascii="Arial" w:hAnsi="Arial" w:cs="Arial"/>
        </w:rPr>
        <w:t xml:space="preserve"> </w:t>
      </w:r>
      <w:proofErr w:type="gramStart"/>
      <w:r w:rsidRPr="001E1F98">
        <w:rPr>
          <w:rFonts w:ascii="Arial" w:hAnsi="Arial" w:cs="Arial"/>
        </w:rPr>
        <w:t>At page 56, the Commission states “</w:t>
      </w:r>
      <w:r w:rsidRPr="001E1F98">
        <w:rPr>
          <w:rFonts w:ascii="Arial" w:hAnsi="Arial" w:cs="Arial"/>
          <w:i/>
        </w:rPr>
        <w:t>Scott Bader is, if at all, a weak competitive constraint to the merging parties</w:t>
      </w:r>
      <w:r w:rsidRPr="001E1F98">
        <w:rPr>
          <w:rFonts w:ascii="Arial" w:hAnsi="Arial" w:cs="Arial"/>
        </w:rPr>
        <w:t>”.</w:t>
      </w:r>
      <w:proofErr w:type="gramEnd"/>
    </w:p>
  </w:footnote>
  <w:footnote w:id="89">
    <w:p w:rsidR="00F02DA6" w:rsidRPr="001E1F98" w:rsidRDefault="00F02DA6" w:rsidP="00931903">
      <w:pPr>
        <w:pStyle w:val="FootnoteText"/>
        <w:rPr>
          <w:rFonts w:ascii="Arial" w:hAnsi="Arial" w:cs="Arial"/>
          <w:lang w:val="en-ZA"/>
        </w:rPr>
      </w:pPr>
      <w:r w:rsidRPr="001E1F98">
        <w:rPr>
          <w:rStyle w:val="FootnoteReference"/>
          <w:rFonts w:ascii="Arial" w:hAnsi="Arial" w:cs="Arial"/>
        </w:rPr>
        <w:footnoteRef/>
      </w:r>
      <w:r w:rsidRPr="001E1F98">
        <w:rPr>
          <w:rFonts w:ascii="Arial" w:hAnsi="Arial" w:cs="Arial"/>
        </w:rPr>
        <w:t xml:space="preserve"> </w:t>
      </w:r>
      <w:proofErr w:type="gramStart"/>
      <w:r w:rsidRPr="001E1F98">
        <w:rPr>
          <w:rFonts w:ascii="Arial" w:hAnsi="Arial" w:cs="Arial"/>
        </w:rPr>
        <w:t>Page 9 of the Commission’s Recommendation.</w:t>
      </w:r>
      <w:proofErr w:type="gramEnd"/>
    </w:p>
  </w:footnote>
  <w:footnote w:id="90">
    <w:p w:rsidR="00F02DA6" w:rsidRPr="00061526" w:rsidRDefault="00F02DA6" w:rsidP="00931903">
      <w:pPr>
        <w:pStyle w:val="FootnoteText"/>
        <w:rPr>
          <w:lang w:val="en-ZA"/>
        </w:rPr>
      </w:pPr>
      <w:r w:rsidRPr="001E1F98">
        <w:rPr>
          <w:rStyle w:val="FootnoteReference"/>
          <w:rFonts w:ascii="Arial" w:hAnsi="Arial" w:cs="Arial"/>
        </w:rPr>
        <w:footnoteRef/>
      </w:r>
      <w:r w:rsidRPr="001E1F98">
        <w:rPr>
          <w:rFonts w:ascii="Arial" w:hAnsi="Arial" w:cs="Arial"/>
        </w:rPr>
        <w:t xml:space="preserve"> </w:t>
      </w:r>
      <w:proofErr w:type="gramStart"/>
      <w:r w:rsidRPr="001E1F98">
        <w:rPr>
          <w:rFonts w:ascii="Arial" w:hAnsi="Arial" w:cs="Arial"/>
        </w:rPr>
        <w:t>Page 52 of the Commission’s Recommendation.</w:t>
      </w:r>
      <w:proofErr w:type="gramEnd"/>
    </w:p>
  </w:footnote>
  <w:footnote w:id="91">
    <w:p w:rsidR="00F02DA6" w:rsidRPr="009B4D52" w:rsidRDefault="00F02DA6" w:rsidP="00931903">
      <w:pPr>
        <w:pStyle w:val="FootnoteText"/>
        <w:rPr>
          <w:rFonts w:ascii="Arial" w:hAnsi="Arial" w:cs="Arial"/>
          <w:lang w:val="en-ZA"/>
        </w:rPr>
      </w:pPr>
      <w:r w:rsidRPr="009B4D52">
        <w:rPr>
          <w:rStyle w:val="FootnoteReference"/>
          <w:rFonts w:ascii="Arial" w:hAnsi="Arial" w:cs="Arial"/>
        </w:rPr>
        <w:footnoteRef/>
      </w:r>
      <w:r w:rsidRPr="009B4D52">
        <w:rPr>
          <w:rFonts w:ascii="Arial" w:hAnsi="Arial" w:cs="Arial"/>
        </w:rPr>
        <w:t xml:space="preserve"> </w:t>
      </w:r>
      <w:proofErr w:type="gramStart"/>
      <w:r w:rsidRPr="009B4D52">
        <w:rPr>
          <w:rFonts w:ascii="Arial" w:hAnsi="Arial" w:cs="Arial"/>
        </w:rPr>
        <w:t>Page 12 of the Commission’s Recommendation.</w:t>
      </w:r>
      <w:proofErr w:type="gramEnd"/>
    </w:p>
  </w:footnote>
  <w:footnote w:id="92">
    <w:p w:rsidR="00F02DA6" w:rsidRPr="009B4D52" w:rsidRDefault="00F02DA6" w:rsidP="00B86C18">
      <w:pPr>
        <w:pStyle w:val="FootnoteText"/>
        <w:tabs>
          <w:tab w:val="left" w:pos="3270"/>
        </w:tabs>
        <w:rPr>
          <w:rFonts w:ascii="Arial" w:hAnsi="Arial" w:cs="Arial"/>
          <w:lang w:val="en-ZA"/>
        </w:rPr>
      </w:pPr>
      <w:r w:rsidRPr="009B4D52">
        <w:rPr>
          <w:rStyle w:val="FootnoteReference"/>
          <w:rFonts w:ascii="Arial" w:hAnsi="Arial" w:cs="Arial"/>
        </w:rPr>
        <w:footnoteRef/>
      </w:r>
      <w:r w:rsidRPr="009B4D52">
        <w:rPr>
          <w:rFonts w:ascii="Arial" w:hAnsi="Arial" w:cs="Arial"/>
        </w:rPr>
        <w:t xml:space="preserve"> </w:t>
      </w:r>
      <w:proofErr w:type="gramStart"/>
      <w:r w:rsidRPr="009B4D52">
        <w:rPr>
          <w:rFonts w:ascii="Arial" w:hAnsi="Arial" w:cs="Arial"/>
        </w:rPr>
        <w:t>Exhibit 31, Slide 23.</w:t>
      </w:r>
      <w:proofErr w:type="gramEnd"/>
      <w:r w:rsidRPr="009B4D52">
        <w:rPr>
          <w:rFonts w:ascii="Arial" w:hAnsi="Arial" w:cs="Arial"/>
        </w:rPr>
        <w:tab/>
      </w:r>
    </w:p>
  </w:footnote>
  <w:footnote w:id="93">
    <w:p w:rsidR="00F02DA6" w:rsidRPr="009B4D52" w:rsidRDefault="00F02DA6" w:rsidP="00AC5B63">
      <w:pPr>
        <w:pStyle w:val="FootnoteText"/>
        <w:rPr>
          <w:rFonts w:ascii="Arial" w:hAnsi="Arial" w:cs="Arial"/>
          <w:lang w:val="en-ZA"/>
        </w:rPr>
      </w:pPr>
      <w:r w:rsidRPr="009B4D52">
        <w:rPr>
          <w:rStyle w:val="FootnoteReference"/>
          <w:rFonts w:ascii="Arial" w:hAnsi="Arial" w:cs="Arial"/>
        </w:rPr>
        <w:footnoteRef/>
      </w:r>
      <w:r w:rsidRPr="009B4D52">
        <w:rPr>
          <w:rFonts w:ascii="Arial" w:hAnsi="Arial" w:cs="Arial"/>
        </w:rPr>
        <w:t xml:space="preserve"> </w:t>
      </w:r>
      <w:proofErr w:type="gramStart"/>
      <w:r w:rsidRPr="009B4D52">
        <w:rPr>
          <w:rFonts w:ascii="Arial" w:hAnsi="Arial" w:cs="Arial"/>
        </w:rPr>
        <w:t>Duma’s witness statement, paragraph 33, record page 2319; Hahn’s witness statement, paragraphs 32 and 33, record page 2309.</w:t>
      </w:r>
      <w:proofErr w:type="gramEnd"/>
    </w:p>
  </w:footnote>
  <w:footnote w:id="94">
    <w:p w:rsidR="00F02DA6" w:rsidRPr="009B4D52" w:rsidRDefault="00F02DA6" w:rsidP="00086772">
      <w:pPr>
        <w:pStyle w:val="FootnoteText"/>
        <w:rPr>
          <w:rFonts w:ascii="Arial" w:hAnsi="Arial" w:cs="Arial"/>
          <w:lang w:val="en-ZA"/>
        </w:rPr>
      </w:pPr>
      <w:r w:rsidRPr="009B4D52">
        <w:rPr>
          <w:rStyle w:val="FootnoteReference"/>
          <w:rFonts w:ascii="Arial" w:hAnsi="Arial" w:cs="Arial"/>
        </w:rPr>
        <w:footnoteRef/>
      </w:r>
      <w:r w:rsidRPr="009B4D52">
        <w:rPr>
          <w:rFonts w:ascii="Arial" w:hAnsi="Arial" w:cs="Arial"/>
        </w:rPr>
        <w:t xml:space="preserve"> </w:t>
      </w:r>
      <w:proofErr w:type="gramStart"/>
      <w:r w:rsidRPr="009B4D52">
        <w:rPr>
          <w:rFonts w:ascii="Arial" w:hAnsi="Arial" w:cs="Arial"/>
        </w:rPr>
        <w:t>Duma, transcript page 83.</w:t>
      </w:r>
      <w:proofErr w:type="gramEnd"/>
    </w:p>
  </w:footnote>
  <w:footnote w:id="95">
    <w:p w:rsidR="00F02DA6" w:rsidRPr="009B4D52" w:rsidRDefault="00F02DA6">
      <w:pPr>
        <w:pStyle w:val="FootnoteText"/>
        <w:rPr>
          <w:rFonts w:ascii="Arial" w:hAnsi="Arial" w:cs="Arial"/>
          <w:lang w:val="en-ZA"/>
        </w:rPr>
      </w:pPr>
      <w:r w:rsidRPr="009B4D52">
        <w:rPr>
          <w:rStyle w:val="FootnoteReference"/>
          <w:rFonts w:ascii="Arial" w:hAnsi="Arial" w:cs="Arial"/>
        </w:rPr>
        <w:footnoteRef/>
      </w:r>
      <w:r w:rsidRPr="009B4D52">
        <w:rPr>
          <w:rFonts w:ascii="Arial" w:hAnsi="Arial" w:cs="Arial"/>
        </w:rPr>
        <w:t xml:space="preserve"> Duma, transcript </w:t>
      </w:r>
      <w:r w:rsidRPr="009B4D52">
        <w:rPr>
          <w:rFonts w:ascii="Arial" w:hAnsi="Arial" w:cs="Arial"/>
          <w:i/>
        </w:rPr>
        <w:t>inter alia</w:t>
      </w:r>
      <w:r w:rsidRPr="009B4D52">
        <w:rPr>
          <w:rFonts w:ascii="Arial" w:hAnsi="Arial" w:cs="Arial"/>
        </w:rPr>
        <w:t xml:space="preserve"> pages 52 and 83.</w:t>
      </w:r>
    </w:p>
  </w:footnote>
  <w:footnote w:id="96">
    <w:p w:rsidR="00F02DA6" w:rsidRPr="00274A3F" w:rsidRDefault="00F02DA6" w:rsidP="0090219D">
      <w:pPr>
        <w:pStyle w:val="FootnoteText"/>
        <w:rPr>
          <w:rFonts w:ascii="Arial" w:hAnsi="Arial" w:cs="Arial"/>
          <w:lang w:val="en-ZA"/>
        </w:rPr>
      </w:pPr>
      <w:r w:rsidRPr="009B4D52">
        <w:rPr>
          <w:rStyle w:val="FootnoteReference"/>
          <w:rFonts w:ascii="Arial" w:hAnsi="Arial" w:cs="Arial"/>
        </w:rPr>
        <w:footnoteRef/>
      </w:r>
      <w:r w:rsidRPr="009B4D52">
        <w:rPr>
          <w:rFonts w:ascii="Arial" w:hAnsi="Arial" w:cs="Arial"/>
        </w:rPr>
        <w:t xml:space="preserve"> Duma’s witness statement, paragraphs 14 and 15, record page 2315.</w:t>
      </w:r>
    </w:p>
  </w:footnote>
  <w:footnote w:id="97">
    <w:p w:rsidR="00F02DA6" w:rsidRPr="009B4D52" w:rsidRDefault="00F02DA6" w:rsidP="00654223">
      <w:pPr>
        <w:pStyle w:val="FootnoteText"/>
        <w:rPr>
          <w:rFonts w:ascii="Arial" w:hAnsi="Arial" w:cs="Arial"/>
          <w:lang w:val="en-ZA"/>
        </w:rPr>
      </w:pPr>
      <w:r w:rsidRPr="009B4D52">
        <w:rPr>
          <w:rStyle w:val="FootnoteReference"/>
          <w:rFonts w:ascii="Arial" w:hAnsi="Arial" w:cs="Arial"/>
        </w:rPr>
        <w:footnoteRef/>
      </w:r>
      <w:r w:rsidRPr="009B4D52">
        <w:rPr>
          <w:rFonts w:ascii="Arial" w:hAnsi="Arial" w:cs="Arial"/>
        </w:rPr>
        <w:t xml:space="preserve"> Transcript, pages 138 to 140; also see Duma’s witness statement, paragraph 38, record page 2320. </w:t>
      </w:r>
    </w:p>
  </w:footnote>
  <w:footnote w:id="98">
    <w:p w:rsidR="00F02DA6" w:rsidRPr="009B4D52" w:rsidRDefault="00F02DA6" w:rsidP="003373B3">
      <w:pPr>
        <w:pStyle w:val="FootnoteText"/>
        <w:rPr>
          <w:rFonts w:ascii="Arial" w:hAnsi="Arial" w:cs="Arial"/>
          <w:lang w:val="en-ZA"/>
        </w:rPr>
      </w:pPr>
      <w:r w:rsidRPr="009B4D52">
        <w:rPr>
          <w:rStyle w:val="FootnoteReference"/>
          <w:rFonts w:ascii="Arial" w:hAnsi="Arial" w:cs="Arial"/>
        </w:rPr>
        <w:footnoteRef/>
      </w:r>
      <w:r w:rsidRPr="009B4D52">
        <w:rPr>
          <w:rFonts w:ascii="Arial" w:hAnsi="Arial" w:cs="Arial"/>
        </w:rPr>
        <w:t xml:space="preserve"> </w:t>
      </w:r>
      <w:proofErr w:type="gramStart"/>
      <w:r w:rsidRPr="009B4D52">
        <w:rPr>
          <w:rFonts w:ascii="Arial" w:hAnsi="Arial" w:cs="Arial"/>
          <w:lang w:val="en-ZA"/>
        </w:rPr>
        <w:t>Transcript page 82.</w:t>
      </w:r>
      <w:proofErr w:type="gramEnd"/>
    </w:p>
  </w:footnote>
  <w:footnote w:id="99">
    <w:p w:rsidR="00F02DA6" w:rsidRPr="009B4D52" w:rsidRDefault="00F02DA6" w:rsidP="00F642A2">
      <w:pPr>
        <w:pStyle w:val="FootnoteText"/>
        <w:rPr>
          <w:rFonts w:ascii="Arial" w:hAnsi="Arial" w:cs="Arial"/>
          <w:lang w:val="en-ZA"/>
        </w:rPr>
      </w:pPr>
      <w:r w:rsidRPr="009B4D52">
        <w:rPr>
          <w:rStyle w:val="FootnoteReference"/>
          <w:rFonts w:ascii="Arial" w:hAnsi="Arial" w:cs="Arial"/>
        </w:rPr>
        <w:footnoteRef/>
      </w:r>
      <w:r w:rsidRPr="009B4D52">
        <w:rPr>
          <w:rFonts w:ascii="Arial" w:hAnsi="Arial" w:cs="Arial"/>
        </w:rPr>
        <w:t xml:space="preserve"> </w:t>
      </w:r>
      <w:r w:rsidRPr="009B4D52">
        <w:rPr>
          <w:rFonts w:ascii="Arial" w:hAnsi="Arial" w:cs="Arial"/>
          <w:lang w:val="en-US"/>
        </w:rPr>
        <w:t>Transcript, pages 129 and 130.</w:t>
      </w:r>
    </w:p>
  </w:footnote>
  <w:footnote w:id="100">
    <w:p w:rsidR="00F02DA6" w:rsidRPr="009B4D52" w:rsidRDefault="00F02DA6" w:rsidP="00931903">
      <w:pPr>
        <w:pStyle w:val="FootnoteText"/>
        <w:rPr>
          <w:rFonts w:ascii="Arial" w:hAnsi="Arial" w:cs="Arial"/>
          <w:lang w:val="en-ZA"/>
        </w:rPr>
      </w:pPr>
      <w:r w:rsidRPr="009B4D52">
        <w:rPr>
          <w:rStyle w:val="FootnoteReference"/>
          <w:rFonts w:ascii="Arial" w:hAnsi="Arial" w:cs="Arial"/>
        </w:rPr>
        <w:footnoteRef/>
      </w:r>
      <w:r w:rsidRPr="009B4D52">
        <w:rPr>
          <w:rFonts w:ascii="Arial" w:hAnsi="Arial" w:cs="Arial"/>
        </w:rPr>
        <w:t xml:space="preserve"> </w:t>
      </w:r>
      <w:proofErr w:type="gramStart"/>
      <w:r w:rsidRPr="009B4D52">
        <w:rPr>
          <w:rFonts w:ascii="Arial" w:hAnsi="Arial" w:cs="Arial"/>
          <w:lang w:val="en-US"/>
        </w:rPr>
        <w:t>Transcript, page 130.</w:t>
      </w:r>
      <w:proofErr w:type="gramEnd"/>
    </w:p>
  </w:footnote>
  <w:footnote w:id="101">
    <w:p w:rsidR="00F02DA6" w:rsidRPr="009B4D52" w:rsidRDefault="00F02DA6" w:rsidP="00D6533E">
      <w:pPr>
        <w:pStyle w:val="FootnoteText"/>
        <w:rPr>
          <w:rFonts w:ascii="Arial" w:hAnsi="Arial" w:cs="Arial"/>
        </w:rPr>
      </w:pPr>
      <w:r w:rsidRPr="009B4D52">
        <w:rPr>
          <w:rStyle w:val="FootnoteReference"/>
          <w:rFonts w:ascii="Arial" w:hAnsi="Arial" w:cs="Arial"/>
        </w:rPr>
        <w:footnoteRef/>
      </w:r>
      <w:r w:rsidRPr="009B4D52">
        <w:rPr>
          <w:rFonts w:ascii="Arial" w:hAnsi="Arial" w:cs="Arial"/>
        </w:rPr>
        <w:t xml:space="preserve"> </w:t>
      </w:r>
      <w:proofErr w:type="gramStart"/>
      <w:r w:rsidRPr="009B4D52">
        <w:rPr>
          <w:rFonts w:ascii="Arial" w:hAnsi="Arial" w:cs="Arial"/>
        </w:rPr>
        <w:t>Duma’s witness statement, paragraphs 16 and</w:t>
      </w:r>
      <w:r>
        <w:rPr>
          <w:rFonts w:ascii="Arial" w:hAnsi="Arial" w:cs="Arial"/>
        </w:rPr>
        <w:t xml:space="preserve"> </w:t>
      </w:r>
      <w:r w:rsidRPr="009B4D52">
        <w:rPr>
          <w:rFonts w:ascii="Arial" w:hAnsi="Arial" w:cs="Arial"/>
        </w:rPr>
        <w:t>17, record pages 2315 and 2316.</w:t>
      </w:r>
      <w:proofErr w:type="gramEnd"/>
    </w:p>
  </w:footnote>
  <w:footnote w:id="102">
    <w:p w:rsidR="00F02DA6" w:rsidRPr="00F537A7" w:rsidRDefault="00F02DA6" w:rsidP="00D6533E">
      <w:pPr>
        <w:pStyle w:val="FootnoteText"/>
        <w:rPr>
          <w:rFonts w:ascii="Arial" w:hAnsi="Arial" w:cs="Arial"/>
          <w:lang w:val="en-ZA"/>
        </w:rPr>
      </w:pPr>
      <w:r w:rsidRPr="009B4D52">
        <w:rPr>
          <w:rStyle w:val="FootnoteReference"/>
          <w:rFonts w:ascii="Arial" w:hAnsi="Arial" w:cs="Arial"/>
        </w:rPr>
        <w:footnoteRef/>
      </w:r>
      <w:r w:rsidRPr="009B4D52">
        <w:rPr>
          <w:rFonts w:ascii="Arial" w:hAnsi="Arial" w:cs="Arial"/>
        </w:rPr>
        <w:t xml:space="preserve"> </w:t>
      </w:r>
      <w:proofErr w:type="gramStart"/>
      <w:r w:rsidRPr="009B4D52">
        <w:rPr>
          <w:rFonts w:ascii="Arial" w:hAnsi="Arial" w:cs="Arial"/>
        </w:rPr>
        <w:t>Duma, transcript page 61.</w:t>
      </w:r>
      <w:proofErr w:type="gramEnd"/>
    </w:p>
  </w:footnote>
  <w:footnote w:id="103">
    <w:p w:rsidR="00F02DA6" w:rsidRPr="009B4D52" w:rsidRDefault="00F02DA6" w:rsidP="00931903">
      <w:pPr>
        <w:pStyle w:val="FootnoteText"/>
        <w:rPr>
          <w:rFonts w:ascii="Arial" w:hAnsi="Arial" w:cs="Arial"/>
        </w:rPr>
      </w:pPr>
      <w:r w:rsidRPr="009B4D52">
        <w:rPr>
          <w:rStyle w:val="FootnoteReference"/>
          <w:rFonts w:ascii="Arial" w:hAnsi="Arial" w:cs="Arial"/>
        </w:rPr>
        <w:footnoteRef/>
      </w:r>
      <w:r w:rsidRPr="009B4D52">
        <w:rPr>
          <w:rFonts w:ascii="Arial" w:hAnsi="Arial" w:cs="Arial"/>
        </w:rPr>
        <w:t xml:space="preserve"> Duma’s witness statement, paragraph 35, record page 2319.</w:t>
      </w:r>
    </w:p>
  </w:footnote>
  <w:footnote w:id="104">
    <w:p w:rsidR="00F02DA6" w:rsidRPr="009B4D52" w:rsidRDefault="00F02DA6" w:rsidP="00931903">
      <w:pPr>
        <w:pStyle w:val="FootnoteText"/>
        <w:rPr>
          <w:rFonts w:ascii="Arial" w:hAnsi="Arial" w:cs="Arial"/>
        </w:rPr>
      </w:pPr>
      <w:r w:rsidRPr="009B4D52">
        <w:rPr>
          <w:rStyle w:val="FootnoteReference"/>
          <w:rFonts w:ascii="Arial" w:hAnsi="Arial" w:cs="Arial"/>
        </w:rPr>
        <w:footnoteRef/>
      </w:r>
      <w:r w:rsidRPr="009B4D52">
        <w:rPr>
          <w:rFonts w:ascii="Arial" w:hAnsi="Arial" w:cs="Arial"/>
        </w:rPr>
        <w:t xml:space="preserve"> Duma’s witness statement, paragraph 20, record page 2316.</w:t>
      </w:r>
    </w:p>
  </w:footnote>
  <w:footnote w:id="105">
    <w:p w:rsidR="00F02DA6" w:rsidRPr="009B4D52" w:rsidRDefault="00F02DA6" w:rsidP="00931903">
      <w:pPr>
        <w:pStyle w:val="FootnoteText"/>
        <w:rPr>
          <w:rFonts w:ascii="Arial" w:hAnsi="Arial" w:cs="Arial"/>
          <w:lang w:val="en-ZA"/>
        </w:rPr>
      </w:pPr>
      <w:r w:rsidRPr="009B4D52">
        <w:rPr>
          <w:rStyle w:val="FootnoteReference"/>
          <w:rFonts w:ascii="Arial" w:hAnsi="Arial" w:cs="Arial"/>
        </w:rPr>
        <w:footnoteRef/>
      </w:r>
      <w:r w:rsidRPr="009B4D52">
        <w:rPr>
          <w:rFonts w:ascii="Arial" w:hAnsi="Arial" w:cs="Arial"/>
        </w:rPr>
        <w:t xml:space="preserve"> Hahn</w:t>
      </w:r>
      <w:r>
        <w:rPr>
          <w:rFonts w:ascii="Arial" w:hAnsi="Arial" w:cs="Arial"/>
        </w:rPr>
        <w:t>, t</w:t>
      </w:r>
      <w:r w:rsidRPr="009B4D52">
        <w:rPr>
          <w:rFonts w:ascii="Arial" w:hAnsi="Arial" w:cs="Arial"/>
        </w:rPr>
        <w:t>ranscript, page 153: “</w:t>
      </w:r>
      <w:r w:rsidRPr="009B4D52">
        <w:rPr>
          <w:rFonts w:ascii="Arial" w:hAnsi="Arial" w:cs="Arial"/>
          <w:i/>
        </w:rPr>
        <w:t>So prior to 2010, I believe Arkema was our major or only supplier.”</w:t>
      </w:r>
    </w:p>
  </w:footnote>
  <w:footnote w:id="106">
    <w:p w:rsidR="00F02DA6" w:rsidRPr="009B4D52" w:rsidRDefault="00F02DA6" w:rsidP="004D5532">
      <w:pPr>
        <w:pStyle w:val="FootnoteText"/>
        <w:rPr>
          <w:rFonts w:ascii="Arial" w:hAnsi="Arial" w:cs="Arial"/>
          <w:lang w:val="en-ZA"/>
        </w:rPr>
      </w:pPr>
      <w:r w:rsidRPr="009B4D52">
        <w:rPr>
          <w:rStyle w:val="FootnoteReference"/>
          <w:rFonts w:ascii="Arial" w:hAnsi="Arial" w:cs="Arial"/>
        </w:rPr>
        <w:footnoteRef/>
      </w:r>
      <w:r w:rsidRPr="009B4D52">
        <w:rPr>
          <w:rFonts w:ascii="Arial" w:hAnsi="Arial" w:cs="Arial"/>
        </w:rPr>
        <w:t xml:space="preserve"> </w:t>
      </w:r>
      <w:proofErr w:type="gramStart"/>
      <w:r w:rsidRPr="009B4D52">
        <w:rPr>
          <w:rFonts w:ascii="Arial" w:hAnsi="Arial" w:cs="Arial"/>
        </w:rPr>
        <w:t>Hahn, transcript page 154.</w:t>
      </w:r>
      <w:proofErr w:type="gramEnd"/>
    </w:p>
  </w:footnote>
  <w:footnote w:id="107">
    <w:p w:rsidR="00F02DA6" w:rsidRPr="009B4D52" w:rsidRDefault="00F02DA6">
      <w:pPr>
        <w:pStyle w:val="FootnoteText"/>
        <w:rPr>
          <w:rFonts w:ascii="Arial" w:hAnsi="Arial" w:cs="Arial"/>
          <w:lang w:val="en-ZA"/>
        </w:rPr>
      </w:pPr>
      <w:r w:rsidRPr="009B4D52">
        <w:rPr>
          <w:rStyle w:val="FootnoteReference"/>
          <w:rFonts w:ascii="Arial" w:hAnsi="Arial" w:cs="Arial"/>
        </w:rPr>
        <w:footnoteRef/>
      </w:r>
      <w:r w:rsidRPr="009B4D52">
        <w:rPr>
          <w:rFonts w:ascii="Arial" w:hAnsi="Arial" w:cs="Arial"/>
        </w:rPr>
        <w:t xml:space="preserve"> </w:t>
      </w:r>
      <w:proofErr w:type="gramStart"/>
      <w:r w:rsidRPr="009B4D52">
        <w:rPr>
          <w:rFonts w:ascii="Arial" w:hAnsi="Arial" w:cs="Arial"/>
        </w:rPr>
        <w:t>Transcript, page 154.</w:t>
      </w:r>
      <w:proofErr w:type="gramEnd"/>
    </w:p>
  </w:footnote>
  <w:footnote w:id="108">
    <w:p w:rsidR="00F02DA6" w:rsidRPr="009B4D52" w:rsidRDefault="00F02DA6" w:rsidP="00931903">
      <w:pPr>
        <w:pStyle w:val="FootnoteText"/>
        <w:rPr>
          <w:rFonts w:ascii="Arial" w:hAnsi="Arial" w:cs="Arial"/>
          <w:lang w:val="en-ZA"/>
        </w:rPr>
      </w:pPr>
      <w:r w:rsidRPr="009B4D52">
        <w:rPr>
          <w:rStyle w:val="FootnoteReference"/>
          <w:rFonts w:ascii="Arial" w:hAnsi="Arial" w:cs="Arial"/>
        </w:rPr>
        <w:footnoteRef/>
      </w:r>
      <w:r w:rsidRPr="009B4D52">
        <w:rPr>
          <w:rFonts w:ascii="Arial" w:hAnsi="Arial" w:cs="Arial"/>
        </w:rPr>
        <w:t xml:space="preserve"> </w:t>
      </w:r>
      <w:proofErr w:type="gramStart"/>
      <w:r w:rsidRPr="009B4D52">
        <w:rPr>
          <w:rFonts w:ascii="Arial" w:hAnsi="Arial" w:cs="Arial"/>
        </w:rPr>
        <w:t>Transcript, page 159; Exhibit 31, Slide 23.</w:t>
      </w:r>
      <w:proofErr w:type="gramEnd"/>
    </w:p>
  </w:footnote>
  <w:footnote w:id="109">
    <w:p w:rsidR="00F02DA6" w:rsidRPr="009B4D52" w:rsidRDefault="00F02DA6">
      <w:pPr>
        <w:pStyle w:val="FootnoteText"/>
        <w:rPr>
          <w:rFonts w:ascii="Arial" w:hAnsi="Arial" w:cs="Arial"/>
          <w:lang w:val="en-ZA"/>
        </w:rPr>
      </w:pPr>
      <w:r w:rsidRPr="009B4D52">
        <w:rPr>
          <w:rStyle w:val="FootnoteReference"/>
          <w:rFonts w:ascii="Arial" w:hAnsi="Arial" w:cs="Arial"/>
        </w:rPr>
        <w:footnoteRef/>
      </w:r>
      <w:r w:rsidRPr="009B4D52">
        <w:rPr>
          <w:rFonts w:ascii="Arial" w:hAnsi="Arial" w:cs="Arial"/>
        </w:rPr>
        <w:t xml:space="preserve"> </w:t>
      </w:r>
      <w:proofErr w:type="gramStart"/>
      <w:r w:rsidRPr="009B4D52">
        <w:rPr>
          <w:rFonts w:ascii="Arial" w:hAnsi="Arial" w:cs="Arial"/>
        </w:rPr>
        <w:t>At the end of 2013, Rocbolt</w:t>
      </w:r>
      <w:r w:rsidR="00FD757E">
        <w:rPr>
          <w:rFonts w:ascii="Arial" w:hAnsi="Arial" w:cs="Arial"/>
        </w:rPr>
        <w:t xml:space="preserve"> [...]</w:t>
      </w:r>
      <w:r w:rsidRPr="009B4D52">
        <w:rPr>
          <w:rFonts w:ascii="Arial" w:hAnsi="Arial" w:cs="Arial"/>
        </w:rPr>
        <w:t>.</w:t>
      </w:r>
      <w:proofErr w:type="gramEnd"/>
      <w:r w:rsidRPr="009B4D52">
        <w:rPr>
          <w:rFonts w:ascii="Arial" w:hAnsi="Arial" w:cs="Arial"/>
        </w:rPr>
        <w:t xml:space="preserve">  </w:t>
      </w:r>
    </w:p>
  </w:footnote>
  <w:footnote w:id="110">
    <w:p w:rsidR="00F02DA6" w:rsidRPr="00E80C1E" w:rsidRDefault="00F02DA6" w:rsidP="00931903">
      <w:pPr>
        <w:pStyle w:val="FootnoteText"/>
        <w:rPr>
          <w:rFonts w:ascii="Arial" w:hAnsi="Arial" w:cs="Arial"/>
          <w:lang w:val="en-ZA"/>
        </w:rPr>
      </w:pPr>
      <w:r w:rsidRPr="009B4D52">
        <w:rPr>
          <w:rStyle w:val="FootnoteReference"/>
          <w:rFonts w:ascii="Arial" w:hAnsi="Arial" w:cs="Arial"/>
        </w:rPr>
        <w:footnoteRef/>
      </w:r>
      <w:r w:rsidRPr="009B4D52">
        <w:rPr>
          <w:rFonts w:ascii="Arial" w:hAnsi="Arial" w:cs="Arial"/>
        </w:rPr>
        <w:t xml:space="preserve"> Hahn’s witness statement, paragraph 33, record page 2309.</w:t>
      </w:r>
    </w:p>
  </w:footnote>
  <w:footnote w:id="111">
    <w:p w:rsidR="00F02DA6" w:rsidRPr="007468D2" w:rsidRDefault="00F02DA6" w:rsidP="0064161A">
      <w:pPr>
        <w:pStyle w:val="FootnoteText"/>
        <w:rPr>
          <w:rFonts w:ascii="Arial" w:hAnsi="Arial" w:cs="Arial"/>
          <w:lang w:val="en-ZA"/>
        </w:rPr>
      </w:pPr>
      <w:r w:rsidRPr="00E80C1E">
        <w:rPr>
          <w:rStyle w:val="FootnoteReference"/>
          <w:rFonts w:ascii="Arial" w:hAnsi="Arial" w:cs="Arial"/>
        </w:rPr>
        <w:footnoteRef/>
      </w:r>
      <w:r w:rsidRPr="00E80C1E">
        <w:rPr>
          <w:rFonts w:ascii="Arial" w:hAnsi="Arial" w:cs="Arial"/>
        </w:rPr>
        <w:t xml:space="preserve"> </w:t>
      </w:r>
      <w:proofErr w:type="gramStart"/>
      <w:r w:rsidRPr="007468D2">
        <w:rPr>
          <w:rFonts w:ascii="Arial" w:hAnsi="Arial" w:cs="Arial"/>
        </w:rPr>
        <w:t>Hahn, transcript page 218.</w:t>
      </w:r>
      <w:proofErr w:type="gramEnd"/>
    </w:p>
  </w:footnote>
  <w:footnote w:id="112">
    <w:p w:rsidR="00F02DA6" w:rsidRPr="007468D2" w:rsidRDefault="00F02DA6">
      <w:pPr>
        <w:pStyle w:val="FootnoteText"/>
        <w:rPr>
          <w:rFonts w:ascii="Arial" w:hAnsi="Arial" w:cs="Arial"/>
          <w:lang w:val="en-ZA"/>
        </w:rPr>
      </w:pPr>
      <w:r w:rsidRPr="007468D2">
        <w:rPr>
          <w:rStyle w:val="FootnoteReference"/>
          <w:rFonts w:ascii="Arial" w:hAnsi="Arial" w:cs="Arial"/>
        </w:rPr>
        <w:footnoteRef/>
      </w:r>
      <w:r w:rsidRPr="007468D2">
        <w:rPr>
          <w:rFonts w:ascii="Arial" w:hAnsi="Arial" w:cs="Arial"/>
        </w:rPr>
        <w:t xml:space="preserve"> </w:t>
      </w:r>
      <w:proofErr w:type="gramStart"/>
      <w:r w:rsidRPr="007468D2">
        <w:rPr>
          <w:rFonts w:ascii="Arial" w:hAnsi="Arial" w:cs="Arial"/>
        </w:rPr>
        <w:t>Hahn, transcript page 219.</w:t>
      </w:r>
      <w:proofErr w:type="gramEnd"/>
    </w:p>
  </w:footnote>
  <w:footnote w:id="113">
    <w:p w:rsidR="00F02DA6" w:rsidRPr="007468D2" w:rsidRDefault="00F02DA6">
      <w:pPr>
        <w:pStyle w:val="FootnoteText"/>
        <w:rPr>
          <w:lang w:val="en-ZA"/>
        </w:rPr>
      </w:pPr>
      <w:r w:rsidRPr="007468D2">
        <w:rPr>
          <w:rStyle w:val="FootnoteReference"/>
          <w:rFonts w:ascii="Arial" w:hAnsi="Arial" w:cs="Arial"/>
        </w:rPr>
        <w:footnoteRef/>
      </w:r>
      <w:r w:rsidRPr="007468D2">
        <w:rPr>
          <w:rFonts w:ascii="Arial" w:hAnsi="Arial" w:cs="Arial"/>
        </w:rPr>
        <w:t xml:space="preserve"> </w:t>
      </w:r>
      <w:proofErr w:type="gramStart"/>
      <w:r w:rsidRPr="007468D2">
        <w:rPr>
          <w:rFonts w:ascii="Arial" w:hAnsi="Arial" w:cs="Arial"/>
        </w:rPr>
        <w:t>Hahn, transcript page 220.</w:t>
      </w:r>
      <w:proofErr w:type="gramEnd"/>
    </w:p>
  </w:footnote>
  <w:footnote w:id="114">
    <w:p w:rsidR="00F02DA6" w:rsidRPr="001D73F3" w:rsidRDefault="00F02DA6" w:rsidP="00931903">
      <w:pPr>
        <w:pStyle w:val="FootnoteText"/>
        <w:rPr>
          <w:rFonts w:ascii="Arial" w:hAnsi="Arial" w:cs="Arial"/>
          <w:lang w:val="en-ZA"/>
        </w:rPr>
      </w:pPr>
      <w:r w:rsidRPr="007468D2">
        <w:rPr>
          <w:rStyle w:val="FootnoteReference"/>
          <w:rFonts w:ascii="Arial" w:hAnsi="Arial" w:cs="Arial"/>
        </w:rPr>
        <w:footnoteRef/>
      </w:r>
      <w:r w:rsidRPr="007468D2">
        <w:rPr>
          <w:rFonts w:ascii="Arial" w:hAnsi="Arial" w:cs="Arial"/>
        </w:rPr>
        <w:t xml:space="preserve"> Hahn’s witness statement, paragraph 19, record page 2306.</w:t>
      </w:r>
    </w:p>
  </w:footnote>
  <w:footnote w:id="115">
    <w:p w:rsidR="00F02DA6" w:rsidRPr="0013047A" w:rsidRDefault="00F02DA6" w:rsidP="001D0074">
      <w:pPr>
        <w:pStyle w:val="FootnoteText"/>
        <w:rPr>
          <w:rFonts w:ascii="Arial" w:hAnsi="Arial" w:cs="Arial"/>
          <w:lang w:val="en-ZA"/>
        </w:rPr>
      </w:pPr>
      <w:r w:rsidRPr="0013047A">
        <w:rPr>
          <w:rStyle w:val="FootnoteReference"/>
          <w:rFonts w:ascii="Arial" w:hAnsi="Arial" w:cs="Arial"/>
        </w:rPr>
        <w:footnoteRef/>
      </w:r>
      <w:r w:rsidRPr="0013047A">
        <w:rPr>
          <w:rFonts w:ascii="Arial" w:hAnsi="Arial" w:cs="Arial"/>
        </w:rPr>
        <w:t xml:space="preserve"> </w:t>
      </w:r>
      <w:r w:rsidRPr="000B1446">
        <w:rPr>
          <w:rFonts w:ascii="Arial" w:hAnsi="Arial" w:cs="Arial"/>
        </w:rPr>
        <w:t>Transcript, pages 18</w:t>
      </w:r>
      <w:r>
        <w:rPr>
          <w:rFonts w:ascii="Arial" w:hAnsi="Arial" w:cs="Arial"/>
        </w:rPr>
        <w:t xml:space="preserve">5 to </w:t>
      </w:r>
      <w:r w:rsidRPr="000B1446">
        <w:rPr>
          <w:rFonts w:ascii="Arial" w:hAnsi="Arial" w:cs="Arial"/>
        </w:rPr>
        <w:t>190.</w:t>
      </w:r>
    </w:p>
  </w:footnote>
  <w:footnote w:id="116">
    <w:p w:rsidR="00F02DA6" w:rsidRPr="007468D2" w:rsidRDefault="00F02DA6">
      <w:pPr>
        <w:pStyle w:val="FootnoteText"/>
        <w:rPr>
          <w:rFonts w:ascii="Arial" w:hAnsi="Arial" w:cs="Arial"/>
          <w:lang w:val="en-ZA"/>
        </w:rPr>
      </w:pPr>
      <w:r w:rsidRPr="007468D2">
        <w:rPr>
          <w:rStyle w:val="FootnoteReference"/>
          <w:rFonts w:ascii="Arial" w:hAnsi="Arial" w:cs="Arial"/>
        </w:rPr>
        <w:footnoteRef/>
      </w:r>
      <w:r w:rsidRPr="007468D2">
        <w:rPr>
          <w:rFonts w:ascii="Arial" w:hAnsi="Arial" w:cs="Arial"/>
        </w:rPr>
        <w:t xml:space="preserve"> </w:t>
      </w:r>
      <w:r w:rsidRPr="007468D2">
        <w:rPr>
          <w:rFonts w:ascii="Arial" w:hAnsi="Arial" w:cs="Arial"/>
          <w:i/>
          <w:lang w:val="en-ZA"/>
        </w:rPr>
        <w:t>Inter alia</w:t>
      </w:r>
      <w:r w:rsidRPr="007468D2">
        <w:rPr>
          <w:rFonts w:ascii="Arial" w:hAnsi="Arial" w:cs="Arial"/>
          <w:lang w:val="en-ZA"/>
        </w:rPr>
        <w:t xml:space="preserve"> Hahn, transcript pages 270, 288 and 289. </w:t>
      </w:r>
      <w:proofErr w:type="gramStart"/>
      <w:r w:rsidRPr="007468D2">
        <w:rPr>
          <w:rFonts w:ascii="Arial" w:hAnsi="Arial" w:cs="Arial"/>
          <w:lang w:val="en-ZA"/>
        </w:rPr>
        <w:t>Duma, transcript page 114.</w:t>
      </w:r>
      <w:proofErr w:type="gramEnd"/>
    </w:p>
  </w:footnote>
  <w:footnote w:id="117">
    <w:p w:rsidR="00F02DA6" w:rsidRPr="007468D2" w:rsidRDefault="00F02DA6" w:rsidP="00C207F8">
      <w:pPr>
        <w:pStyle w:val="FootnoteText"/>
        <w:rPr>
          <w:rFonts w:ascii="Arial" w:hAnsi="Arial" w:cs="Arial"/>
          <w:lang w:val="en-ZA"/>
        </w:rPr>
      </w:pPr>
      <w:r w:rsidRPr="007468D2">
        <w:rPr>
          <w:rStyle w:val="FootnoteReference"/>
          <w:rFonts w:ascii="Arial" w:hAnsi="Arial" w:cs="Arial"/>
        </w:rPr>
        <w:footnoteRef/>
      </w:r>
      <w:r w:rsidRPr="007468D2">
        <w:rPr>
          <w:rFonts w:ascii="Arial" w:hAnsi="Arial" w:cs="Arial"/>
        </w:rPr>
        <w:t xml:space="preserve"> </w:t>
      </w:r>
      <w:proofErr w:type="gramStart"/>
      <w:r w:rsidRPr="007468D2">
        <w:rPr>
          <w:rFonts w:ascii="Arial" w:hAnsi="Arial" w:cs="Arial"/>
        </w:rPr>
        <w:t>Hahn, transcript pages 252 and 289.</w:t>
      </w:r>
      <w:proofErr w:type="gramEnd"/>
    </w:p>
  </w:footnote>
  <w:footnote w:id="118">
    <w:p w:rsidR="00F02DA6" w:rsidRPr="007468D2" w:rsidRDefault="00F02DA6">
      <w:pPr>
        <w:pStyle w:val="FootnoteText"/>
        <w:rPr>
          <w:rFonts w:ascii="Arial" w:hAnsi="Arial" w:cs="Arial"/>
          <w:lang w:val="en-ZA"/>
        </w:rPr>
      </w:pPr>
      <w:r w:rsidRPr="007468D2">
        <w:rPr>
          <w:rStyle w:val="FootnoteReference"/>
          <w:rFonts w:ascii="Arial" w:hAnsi="Arial" w:cs="Arial"/>
        </w:rPr>
        <w:footnoteRef/>
      </w:r>
      <w:r w:rsidRPr="007468D2">
        <w:rPr>
          <w:rFonts w:ascii="Arial" w:hAnsi="Arial" w:cs="Arial"/>
        </w:rPr>
        <w:t xml:space="preserve"> </w:t>
      </w:r>
      <w:proofErr w:type="gramStart"/>
      <w:r w:rsidRPr="007468D2">
        <w:rPr>
          <w:rFonts w:ascii="Arial" w:hAnsi="Arial" w:cs="Arial"/>
          <w:lang w:val="en-ZA"/>
        </w:rPr>
        <w:t>Duma, transcript page 93</w:t>
      </w:r>
      <w:r>
        <w:rPr>
          <w:rFonts w:ascii="Arial" w:hAnsi="Arial" w:cs="Arial"/>
          <w:lang w:val="en-ZA"/>
        </w:rPr>
        <w:t>;</w:t>
      </w:r>
      <w:r w:rsidRPr="007468D2">
        <w:rPr>
          <w:rFonts w:ascii="Arial" w:hAnsi="Arial" w:cs="Arial"/>
          <w:lang w:val="en-ZA"/>
        </w:rPr>
        <w:t xml:space="preserve"> </w:t>
      </w:r>
      <w:r w:rsidRPr="007468D2">
        <w:rPr>
          <w:rFonts w:ascii="Arial" w:hAnsi="Arial" w:cs="Arial"/>
        </w:rPr>
        <w:t>Hahn, transcript page 289.</w:t>
      </w:r>
      <w:proofErr w:type="gramEnd"/>
    </w:p>
  </w:footnote>
  <w:footnote w:id="119">
    <w:p w:rsidR="00F02DA6" w:rsidRPr="007468D2" w:rsidRDefault="00F02DA6" w:rsidP="00C207F8">
      <w:pPr>
        <w:pStyle w:val="FootnoteText"/>
        <w:rPr>
          <w:rFonts w:ascii="Arial" w:hAnsi="Arial" w:cs="Arial"/>
          <w:lang w:val="en-ZA"/>
        </w:rPr>
      </w:pPr>
      <w:r w:rsidRPr="007468D2">
        <w:rPr>
          <w:rStyle w:val="FootnoteReference"/>
          <w:rFonts w:ascii="Arial" w:hAnsi="Arial" w:cs="Arial"/>
        </w:rPr>
        <w:footnoteRef/>
      </w:r>
      <w:r w:rsidRPr="007468D2">
        <w:rPr>
          <w:rFonts w:ascii="Arial" w:hAnsi="Arial" w:cs="Arial"/>
        </w:rPr>
        <w:t xml:space="preserve"> </w:t>
      </w:r>
      <w:proofErr w:type="gramStart"/>
      <w:r w:rsidRPr="007468D2">
        <w:rPr>
          <w:rFonts w:ascii="Arial" w:hAnsi="Arial" w:cs="Arial"/>
        </w:rPr>
        <w:t>Hahn, transcript page 288; Duma, transcript page 145.</w:t>
      </w:r>
      <w:proofErr w:type="gramEnd"/>
    </w:p>
  </w:footnote>
  <w:footnote w:id="120">
    <w:p w:rsidR="00F02DA6" w:rsidRPr="007468D2" w:rsidRDefault="00F02DA6" w:rsidP="00C207F8">
      <w:pPr>
        <w:pStyle w:val="FootnoteText"/>
        <w:rPr>
          <w:rFonts w:ascii="Arial" w:hAnsi="Arial" w:cs="Arial"/>
          <w:lang w:val="en-ZA"/>
        </w:rPr>
      </w:pPr>
      <w:r w:rsidRPr="007468D2">
        <w:rPr>
          <w:rStyle w:val="FootnoteReference"/>
          <w:rFonts w:ascii="Arial" w:hAnsi="Arial" w:cs="Arial"/>
        </w:rPr>
        <w:footnoteRef/>
      </w:r>
      <w:r w:rsidRPr="007468D2">
        <w:rPr>
          <w:rFonts w:ascii="Arial" w:hAnsi="Arial" w:cs="Arial"/>
        </w:rPr>
        <w:t xml:space="preserve"> </w:t>
      </w:r>
      <w:proofErr w:type="gramStart"/>
      <w:r w:rsidRPr="007468D2">
        <w:rPr>
          <w:rFonts w:ascii="Arial" w:hAnsi="Arial" w:cs="Arial"/>
        </w:rPr>
        <w:t>Transcript, page 497.</w:t>
      </w:r>
      <w:proofErr w:type="gramEnd"/>
    </w:p>
  </w:footnote>
  <w:footnote w:id="121">
    <w:p w:rsidR="00F02DA6" w:rsidRPr="007468D2" w:rsidRDefault="00F02DA6" w:rsidP="00931903">
      <w:pPr>
        <w:pStyle w:val="FootnoteText"/>
        <w:rPr>
          <w:rFonts w:ascii="Arial" w:hAnsi="Arial" w:cs="Arial"/>
          <w:lang w:val="en-ZA"/>
        </w:rPr>
      </w:pPr>
      <w:r w:rsidRPr="007468D2">
        <w:rPr>
          <w:rStyle w:val="FootnoteReference"/>
          <w:rFonts w:ascii="Arial" w:hAnsi="Arial" w:cs="Arial"/>
        </w:rPr>
        <w:footnoteRef/>
      </w:r>
      <w:r w:rsidRPr="007468D2">
        <w:rPr>
          <w:rFonts w:ascii="Arial" w:hAnsi="Arial" w:cs="Arial"/>
        </w:rPr>
        <w:t xml:space="preserve"> </w:t>
      </w:r>
      <w:proofErr w:type="gramStart"/>
      <w:r w:rsidRPr="007468D2">
        <w:rPr>
          <w:rFonts w:ascii="Arial" w:hAnsi="Arial" w:cs="Arial"/>
          <w:lang w:val="en-US"/>
        </w:rPr>
        <w:t>Transcript, page 1474.</w:t>
      </w:r>
      <w:proofErr w:type="gramEnd"/>
    </w:p>
  </w:footnote>
  <w:footnote w:id="122">
    <w:p w:rsidR="00F02DA6" w:rsidRPr="007468D2" w:rsidRDefault="00F02DA6">
      <w:pPr>
        <w:pStyle w:val="FootnoteText"/>
        <w:rPr>
          <w:rFonts w:ascii="Arial" w:hAnsi="Arial" w:cs="Arial"/>
          <w:lang w:val="en-ZA"/>
        </w:rPr>
      </w:pPr>
      <w:r w:rsidRPr="007468D2">
        <w:rPr>
          <w:rStyle w:val="FootnoteReference"/>
          <w:rFonts w:ascii="Arial" w:hAnsi="Arial" w:cs="Arial"/>
        </w:rPr>
        <w:footnoteRef/>
      </w:r>
      <w:r w:rsidRPr="007468D2">
        <w:rPr>
          <w:rFonts w:ascii="Arial" w:hAnsi="Arial" w:cs="Arial"/>
        </w:rPr>
        <w:t xml:space="preserve"> </w:t>
      </w:r>
      <w:proofErr w:type="gramStart"/>
      <w:r w:rsidRPr="007468D2">
        <w:rPr>
          <w:rFonts w:ascii="Arial" w:hAnsi="Arial" w:cs="Arial"/>
        </w:rPr>
        <w:t>Duma, transcript page 78.</w:t>
      </w:r>
      <w:proofErr w:type="gramEnd"/>
    </w:p>
  </w:footnote>
  <w:footnote w:id="123">
    <w:p w:rsidR="00F02DA6" w:rsidRPr="007468D2" w:rsidRDefault="00F02DA6" w:rsidP="00896A19">
      <w:pPr>
        <w:pStyle w:val="FootnoteText"/>
        <w:rPr>
          <w:rFonts w:ascii="Arial" w:hAnsi="Arial" w:cs="Arial"/>
          <w:lang w:val="en-ZA"/>
        </w:rPr>
      </w:pPr>
      <w:r w:rsidRPr="007468D2">
        <w:rPr>
          <w:rStyle w:val="FootnoteReference"/>
          <w:rFonts w:ascii="Arial" w:hAnsi="Arial" w:cs="Arial"/>
        </w:rPr>
        <w:footnoteRef/>
      </w:r>
      <w:r w:rsidRPr="007468D2">
        <w:rPr>
          <w:rFonts w:ascii="Arial" w:hAnsi="Arial" w:cs="Arial"/>
        </w:rPr>
        <w:t xml:space="preserve"> </w:t>
      </w:r>
      <w:proofErr w:type="gramStart"/>
      <w:r w:rsidRPr="007468D2">
        <w:rPr>
          <w:rFonts w:ascii="Arial" w:hAnsi="Arial" w:cs="Arial"/>
          <w:lang w:val="en-ZA"/>
        </w:rPr>
        <w:t>Duma, transcript page 78.</w:t>
      </w:r>
      <w:proofErr w:type="gramEnd"/>
    </w:p>
  </w:footnote>
  <w:footnote w:id="124">
    <w:p w:rsidR="00F02DA6" w:rsidRPr="007468D2" w:rsidRDefault="00F02DA6" w:rsidP="00C207F8">
      <w:pPr>
        <w:pStyle w:val="FootnoteText"/>
        <w:rPr>
          <w:rFonts w:ascii="Arial" w:hAnsi="Arial" w:cs="Arial"/>
          <w:lang w:val="en-ZA"/>
        </w:rPr>
      </w:pPr>
      <w:r w:rsidRPr="007468D2">
        <w:rPr>
          <w:rStyle w:val="FootnoteReference"/>
          <w:rFonts w:ascii="Arial" w:hAnsi="Arial" w:cs="Arial"/>
        </w:rPr>
        <w:footnoteRef/>
      </w:r>
      <w:r w:rsidRPr="007468D2">
        <w:rPr>
          <w:rFonts w:ascii="Arial" w:hAnsi="Arial" w:cs="Arial"/>
        </w:rPr>
        <w:t xml:space="preserve"> </w:t>
      </w:r>
      <w:proofErr w:type="gramStart"/>
      <w:r w:rsidRPr="007468D2">
        <w:rPr>
          <w:rFonts w:ascii="Arial" w:hAnsi="Arial" w:cs="Arial"/>
          <w:lang w:val="en-ZA"/>
        </w:rPr>
        <w:t>Hahn, transcript page 302.</w:t>
      </w:r>
      <w:proofErr w:type="gramEnd"/>
    </w:p>
  </w:footnote>
  <w:footnote w:id="125">
    <w:p w:rsidR="00F02DA6" w:rsidRPr="007468D2" w:rsidRDefault="00F02DA6">
      <w:pPr>
        <w:pStyle w:val="FootnoteText"/>
        <w:rPr>
          <w:rFonts w:ascii="Arial" w:hAnsi="Arial" w:cs="Arial"/>
          <w:lang w:val="en-ZA"/>
        </w:rPr>
      </w:pPr>
      <w:r w:rsidRPr="007468D2">
        <w:rPr>
          <w:rStyle w:val="FootnoteReference"/>
          <w:rFonts w:ascii="Arial" w:hAnsi="Arial" w:cs="Arial"/>
        </w:rPr>
        <w:footnoteRef/>
      </w:r>
      <w:r w:rsidRPr="007468D2">
        <w:rPr>
          <w:rFonts w:ascii="Arial" w:hAnsi="Arial" w:cs="Arial"/>
        </w:rPr>
        <w:t xml:space="preserve"> Transcript</w:t>
      </w:r>
      <w:r>
        <w:rPr>
          <w:rFonts w:ascii="Arial" w:hAnsi="Arial" w:cs="Arial"/>
        </w:rPr>
        <w:t>,</w:t>
      </w:r>
      <w:r w:rsidRPr="007468D2">
        <w:rPr>
          <w:rFonts w:ascii="Arial" w:hAnsi="Arial" w:cs="Arial"/>
        </w:rPr>
        <w:t xml:space="preserve"> pages 473, 505, 506 and 524.</w:t>
      </w:r>
    </w:p>
  </w:footnote>
  <w:footnote w:id="126">
    <w:p w:rsidR="00F02DA6" w:rsidRPr="007468D2" w:rsidRDefault="00F02DA6" w:rsidP="00931903">
      <w:pPr>
        <w:pStyle w:val="FootnoteText"/>
        <w:rPr>
          <w:rFonts w:ascii="Arial" w:hAnsi="Arial" w:cs="Arial"/>
          <w:lang w:val="en-ZA"/>
        </w:rPr>
      </w:pPr>
      <w:r w:rsidRPr="007468D2">
        <w:rPr>
          <w:rStyle w:val="FootnoteReference"/>
          <w:rFonts w:ascii="Arial" w:hAnsi="Arial" w:cs="Arial"/>
        </w:rPr>
        <w:footnoteRef/>
      </w:r>
      <w:r w:rsidRPr="007468D2">
        <w:rPr>
          <w:rFonts w:ascii="Arial" w:hAnsi="Arial" w:cs="Arial"/>
        </w:rPr>
        <w:t xml:space="preserve"> </w:t>
      </w:r>
      <w:proofErr w:type="gramStart"/>
      <w:r w:rsidRPr="007468D2">
        <w:rPr>
          <w:rFonts w:ascii="Arial" w:hAnsi="Arial" w:cs="Arial"/>
        </w:rPr>
        <w:t>Transcript</w:t>
      </w:r>
      <w:r>
        <w:rPr>
          <w:rFonts w:ascii="Arial" w:hAnsi="Arial" w:cs="Arial"/>
        </w:rPr>
        <w:t>,</w:t>
      </w:r>
      <w:r w:rsidRPr="007468D2">
        <w:rPr>
          <w:rFonts w:ascii="Arial" w:hAnsi="Arial" w:cs="Arial"/>
        </w:rPr>
        <w:t xml:space="preserve"> page 503.</w:t>
      </w:r>
      <w:proofErr w:type="gramEnd"/>
    </w:p>
  </w:footnote>
  <w:footnote w:id="127">
    <w:p w:rsidR="00F02DA6" w:rsidRPr="00F66FB4" w:rsidRDefault="00F02DA6">
      <w:pPr>
        <w:pStyle w:val="FootnoteText"/>
        <w:rPr>
          <w:rFonts w:ascii="Arial" w:hAnsi="Arial" w:cs="Arial"/>
          <w:lang w:val="en-ZA"/>
        </w:rPr>
      </w:pPr>
      <w:r w:rsidRPr="007468D2">
        <w:rPr>
          <w:rStyle w:val="FootnoteReference"/>
          <w:rFonts w:ascii="Arial" w:hAnsi="Arial" w:cs="Arial"/>
        </w:rPr>
        <w:footnoteRef/>
      </w:r>
      <w:r w:rsidRPr="007468D2">
        <w:rPr>
          <w:rFonts w:ascii="Arial" w:hAnsi="Arial" w:cs="Arial"/>
        </w:rPr>
        <w:t xml:space="preserve"> </w:t>
      </w:r>
      <w:proofErr w:type="gramStart"/>
      <w:r w:rsidRPr="007468D2">
        <w:rPr>
          <w:rFonts w:ascii="Arial" w:hAnsi="Arial" w:cs="Arial"/>
          <w:lang w:val="en-ZA"/>
        </w:rPr>
        <w:t>Yunus, transcript page 526.</w:t>
      </w:r>
      <w:proofErr w:type="gramEnd"/>
    </w:p>
  </w:footnote>
  <w:footnote w:id="128">
    <w:p w:rsidR="00F02DA6" w:rsidRPr="00F66FB4" w:rsidRDefault="00F02DA6">
      <w:pPr>
        <w:pStyle w:val="FootnoteText"/>
        <w:rPr>
          <w:lang w:val="en-ZA"/>
        </w:rPr>
      </w:pPr>
      <w:r w:rsidRPr="00F66FB4">
        <w:rPr>
          <w:rStyle w:val="FootnoteReference"/>
          <w:rFonts w:ascii="Arial" w:hAnsi="Arial" w:cs="Arial"/>
        </w:rPr>
        <w:footnoteRef/>
      </w:r>
      <w:r w:rsidRPr="00F66FB4">
        <w:rPr>
          <w:rFonts w:ascii="Arial" w:hAnsi="Arial" w:cs="Arial"/>
        </w:rPr>
        <w:t xml:space="preserve"> </w:t>
      </w:r>
      <w:r w:rsidRPr="007468D2">
        <w:rPr>
          <w:rFonts w:ascii="Arial" w:hAnsi="Arial" w:cs="Arial"/>
        </w:rPr>
        <w:t xml:space="preserve">The exact pricing formula is confidential, but a non-confidential version </w:t>
      </w:r>
      <w:r>
        <w:rPr>
          <w:rFonts w:ascii="Arial" w:hAnsi="Arial" w:cs="Arial"/>
        </w:rPr>
        <w:t>of “</w:t>
      </w:r>
      <w:r w:rsidRPr="00715182">
        <w:rPr>
          <w:rFonts w:ascii="Arial" w:hAnsi="Arial" w:cs="Arial"/>
          <w:b/>
        </w:rPr>
        <w:t>Annexure C</w:t>
      </w:r>
      <w:r>
        <w:rPr>
          <w:rFonts w:ascii="Arial" w:hAnsi="Arial" w:cs="Arial"/>
        </w:rPr>
        <w:t xml:space="preserve">” to our order </w:t>
      </w:r>
      <w:r w:rsidRPr="007468D2">
        <w:rPr>
          <w:rFonts w:ascii="Arial" w:hAnsi="Arial" w:cs="Arial"/>
        </w:rPr>
        <w:t>is available.</w:t>
      </w:r>
    </w:p>
  </w:footnote>
  <w:footnote w:id="129">
    <w:p w:rsidR="00F02DA6" w:rsidRPr="007468D2" w:rsidRDefault="00F02DA6" w:rsidP="00736ECC">
      <w:pPr>
        <w:pStyle w:val="FootnoteText"/>
        <w:rPr>
          <w:rFonts w:ascii="Arial" w:hAnsi="Arial" w:cs="Arial"/>
          <w:lang w:val="en-ZA"/>
        </w:rPr>
      </w:pPr>
      <w:r w:rsidRPr="007468D2">
        <w:rPr>
          <w:rStyle w:val="FootnoteReference"/>
          <w:rFonts w:ascii="Arial" w:hAnsi="Arial" w:cs="Arial"/>
        </w:rPr>
        <w:footnoteRef/>
      </w:r>
      <w:r w:rsidRPr="007468D2">
        <w:rPr>
          <w:rFonts w:ascii="Arial" w:hAnsi="Arial" w:cs="Arial"/>
        </w:rPr>
        <w:t xml:space="preserve"> </w:t>
      </w:r>
      <w:r w:rsidRPr="007468D2">
        <w:rPr>
          <w:rFonts w:ascii="Arial" w:hAnsi="Arial" w:cs="Arial"/>
          <w:lang w:val="en-US"/>
        </w:rPr>
        <w:t>See Exhibit 13.</w:t>
      </w:r>
    </w:p>
  </w:footnote>
  <w:footnote w:id="130">
    <w:p w:rsidR="00F02DA6" w:rsidRPr="00A5558E" w:rsidRDefault="00F02DA6" w:rsidP="00793D34">
      <w:pPr>
        <w:pStyle w:val="FootnoteText"/>
        <w:rPr>
          <w:lang w:val="en-ZA"/>
        </w:rPr>
      </w:pPr>
      <w:r w:rsidRPr="007468D2">
        <w:rPr>
          <w:rStyle w:val="FootnoteReference"/>
          <w:rFonts w:ascii="Arial" w:hAnsi="Arial" w:cs="Arial"/>
        </w:rPr>
        <w:footnoteRef/>
      </w:r>
      <w:r w:rsidRPr="007468D2">
        <w:rPr>
          <w:rFonts w:ascii="Arial" w:hAnsi="Arial" w:cs="Arial"/>
        </w:rPr>
        <w:t xml:space="preserve"> </w:t>
      </w:r>
      <w:proofErr w:type="gramStart"/>
      <w:r w:rsidRPr="007468D2">
        <w:rPr>
          <w:rFonts w:ascii="Arial" w:hAnsi="Arial" w:cs="Arial"/>
        </w:rPr>
        <w:t>Transcript,</w:t>
      </w:r>
      <w:r w:rsidRPr="007468D2">
        <w:rPr>
          <w:rFonts w:ascii="Arial" w:hAnsi="Arial" w:cs="Arial"/>
          <w:lang w:val="en-US"/>
        </w:rPr>
        <w:t xml:space="preserve"> page 1352.</w:t>
      </w:r>
      <w:proofErr w:type="gramEnd"/>
      <w:r w:rsidRPr="007842DA">
        <w:rPr>
          <w:rFonts w:ascii="Arial" w:hAnsi="Arial" w:cs="Arial"/>
          <w:lang w:val="en-US"/>
        </w:rPr>
        <w:t xml:space="preserve">  </w:t>
      </w:r>
    </w:p>
  </w:footnote>
  <w:footnote w:id="131">
    <w:p w:rsidR="00F02DA6" w:rsidRPr="007468D2" w:rsidRDefault="00F02DA6" w:rsidP="00793D34">
      <w:pPr>
        <w:pStyle w:val="FootnoteText"/>
        <w:rPr>
          <w:rFonts w:ascii="Arial" w:hAnsi="Arial" w:cs="Arial"/>
          <w:lang w:val="en-ZA"/>
        </w:rPr>
      </w:pPr>
      <w:r w:rsidRPr="007468D2">
        <w:rPr>
          <w:rStyle w:val="FootnoteReference"/>
          <w:rFonts w:ascii="Arial" w:hAnsi="Arial" w:cs="Arial"/>
        </w:rPr>
        <w:footnoteRef/>
      </w:r>
      <w:r w:rsidRPr="007468D2">
        <w:rPr>
          <w:rFonts w:ascii="Arial" w:hAnsi="Arial" w:cs="Arial"/>
        </w:rPr>
        <w:t xml:space="preserve"> </w:t>
      </w:r>
      <w:r w:rsidRPr="007468D2">
        <w:rPr>
          <w:rFonts w:ascii="Arial" w:hAnsi="Arial" w:cs="Arial"/>
          <w:lang w:val="en-US"/>
        </w:rPr>
        <w:t>Transcript, pages 1353 and 1354.</w:t>
      </w:r>
    </w:p>
  </w:footnote>
  <w:footnote w:id="132">
    <w:p w:rsidR="00F02DA6" w:rsidRPr="00E91CC3" w:rsidRDefault="00F02DA6" w:rsidP="00793D34">
      <w:pPr>
        <w:pStyle w:val="FootnoteText"/>
        <w:rPr>
          <w:rFonts w:ascii="Arial" w:hAnsi="Arial" w:cs="Arial"/>
          <w:lang w:val="en-ZA"/>
        </w:rPr>
      </w:pPr>
      <w:r w:rsidRPr="00E91CC3">
        <w:rPr>
          <w:rStyle w:val="FootnoteReference"/>
          <w:rFonts w:ascii="Arial" w:hAnsi="Arial" w:cs="Arial"/>
        </w:rPr>
        <w:footnoteRef/>
      </w:r>
      <w:r w:rsidRPr="00E91CC3">
        <w:rPr>
          <w:rFonts w:ascii="Arial" w:hAnsi="Arial" w:cs="Arial"/>
        </w:rPr>
        <w:t xml:space="preserve"> Transcript,</w:t>
      </w:r>
      <w:r w:rsidRPr="00E91CC3">
        <w:rPr>
          <w:rFonts w:ascii="Arial" w:hAnsi="Arial" w:cs="Arial"/>
          <w:lang w:val="en-US"/>
        </w:rPr>
        <w:t xml:space="preserve"> pages 1013 and 1014.</w:t>
      </w:r>
    </w:p>
  </w:footnote>
  <w:footnote w:id="133">
    <w:p w:rsidR="00F02DA6" w:rsidRPr="003C0D6D" w:rsidRDefault="00F02DA6">
      <w:pPr>
        <w:pStyle w:val="FootnoteText"/>
        <w:rPr>
          <w:rFonts w:ascii="Arial" w:hAnsi="Arial" w:cs="Arial"/>
          <w:lang w:val="en-ZA"/>
        </w:rPr>
      </w:pPr>
      <w:r w:rsidRPr="00E91CC3">
        <w:rPr>
          <w:rStyle w:val="FootnoteReference"/>
          <w:rFonts w:ascii="Arial" w:hAnsi="Arial" w:cs="Arial"/>
        </w:rPr>
        <w:footnoteRef/>
      </w:r>
      <w:r w:rsidRPr="00E91CC3">
        <w:rPr>
          <w:rFonts w:ascii="Arial" w:hAnsi="Arial" w:cs="Arial"/>
        </w:rPr>
        <w:t xml:space="preserve"> </w:t>
      </w:r>
      <w:r w:rsidRPr="00500623">
        <w:rPr>
          <w:rFonts w:ascii="Arial" w:hAnsi="Arial" w:cs="Arial"/>
        </w:rPr>
        <w:t>Beal at transcript pages 1215 to 1218.</w:t>
      </w:r>
    </w:p>
  </w:footnote>
  <w:footnote w:id="134">
    <w:p w:rsidR="00F02DA6" w:rsidRPr="003C0D6D" w:rsidRDefault="00F02DA6">
      <w:pPr>
        <w:pStyle w:val="FootnoteText"/>
        <w:rPr>
          <w:rFonts w:ascii="Arial" w:hAnsi="Arial" w:cs="Arial"/>
          <w:lang w:val="en-ZA"/>
        </w:rPr>
      </w:pPr>
      <w:r w:rsidRPr="00342FB9">
        <w:rPr>
          <w:rStyle w:val="FootnoteReference"/>
          <w:rFonts w:ascii="Arial" w:hAnsi="Arial" w:cs="Arial"/>
        </w:rPr>
        <w:footnoteRef/>
      </w:r>
      <w:r w:rsidRPr="00342FB9">
        <w:rPr>
          <w:rFonts w:ascii="Arial" w:hAnsi="Arial" w:cs="Arial"/>
        </w:rPr>
        <w:t xml:space="preserve"> </w:t>
      </w:r>
      <w:r w:rsidRPr="00500623">
        <w:rPr>
          <w:rFonts w:ascii="Arial" w:hAnsi="Arial" w:cs="Arial"/>
        </w:rPr>
        <w:t>Yunus at transcript pages 513 and 514.</w:t>
      </w:r>
    </w:p>
  </w:footnote>
  <w:footnote w:id="135">
    <w:p w:rsidR="00F02DA6" w:rsidRPr="003C0D6D" w:rsidRDefault="00F02DA6">
      <w:pPr>
        <w:pStyle w:val="FootnoteText"/>
        <w:rPr>
          <w:rFonts w:ascii="Arial" w:hAnsi="Arial" w:cs="Arial"/>
          <w:lang w:val="en-ZA"/>
        </w:rPr>
      </w:pPr>
      <w:r w:rsidRPr="00342FB9">
        <w:rPr>
          <w:rStyle w:val="FootnoteReference"/>
          <w:rFonts w:ascii="Arial" w:hAnsi="Arial" w:cs="Arial"/>
        </w:rPr>
        <w:footnoteRef/>
      </w:r>
      <w:r w:rsidRPr="00342FB9">
        <w:rPr>
          <w:rFonts w:ascii="Arial" w:hAnsi="Arial" w:cs="Arial"/>
        </w:rPr>
        <w:t xml:space="preserve"> </w:t>
      </w:r>
      <w:r w:rsidRPr="00500623">
        <w:rPr>
          <w:rFonts w:ascii="Arial" w:hAnsi="Arial" w:cs="Arial"/>
        </w:rPr>
        <w:t>Moosa at transcript pages 313 and 314.</w:t>
      </w:r>
    </w:p>
  </w:footnote>
  <w:footnote w:id="136">
    <w:p w:rsidR="00F02DA6" w:rsidRPr="00E91CC3" w:rsidRDefault="00F02DA6">
      <w:pPr>
        <w:pStyle w:val="FootnoteText"/>
        <w:rPr>
          <w:rFonts w:ascii="Arial" w:hAnsi="Arial" w:cs="Arial"/>
          <w:lang w:val="en-ZA"/>
        </w:rPr>
      </w:pPr>
      <w:r w:rsidRPr="00342FB9">
        <w:rPr>
          <w:rStyle w:val="FootnoteReference"/>
          <w:rFonts w:ascii="Arial" w:hAnsi="Arial" w:cs="Arial"/>
        </w:rPr>
        <w:footnoteRef/>
      </w:r>
      <w:r w:rsidRPr="00342FB9">
        <w:rPr>
          <w:rFonts w:ascii="Arial" w:hAnsi="Arial" w:cs="Arial"/>
        </w:rPr>
        <w:t xml:space="preserve"> </w:t>
      </w:r>
      <w:proofErr w:type="gramStart"/>
      <w:r w:rsidRPr="00500623">
        <w:rPr>
          <w:rFonts w:ascii="Arial" w:hAnsi="Arial" w:cs="Arial"/>
        </w:rPr>
        <w:t>Duma, transcript page</w:t>
      </w:r>
      <w:r>
        <w:rPr>
          <w:rFonts w:ascii="Arial" w:hAnsi="Arial" w:cs="Arial"/>
        </w:rPr>
        <w:t>s</w:t>
      </w:r>
      <w:r w:rsidRPr="00500623">
        <w:rPr>
          <w:rFonts w:ascii="Arial" w:hAnsi="Arial" w:cs="Arial"/>
        </w:rPr>
        <w:t xml:space="preserve"> </w:t>
      </w:r>
      <w:r>
        <w:rPr>
          <w:rFonts w:ascii="Arial" w:hAnsi="Arial" w:cs="Arial"/>
        </w:rPr>
        <w:t>53, 55, 76, 93 and 94</w:t>
      </w:r>
      <w:r w:rsidRPr="00500623">
        <w:rPr>
          <w:rFonts w:ascii="Arial" w:hAnsi="Arial" w:cs="Arial"/>
        </w:rPr>
        <w:t>; Hahn, transcript page</w:t>
      </w:r>
      <w:r>
        <w:rPr>
          <w:rFonts w:ascii="Arial" w:hAnsi="Arial" w:cs="Arial"/>
        </w:rPr>
        <w:t>s</w:t>
      </w:r>
      <w:r w:rsidRPr="00500623">
        <w:rPr>
          <w:rFonts w:ascii="Arial" w:hAnsi="Arial" w:cs="Arial"/>
        </w:rPr>
        <w:t xml:space="preserve"> </w:t>
      </w:r>
      <w:r>
        <w:rPr>
          <w:rFonts w:ascii="Arial" w:hAnsi="Arial" w:cs="Arial"/>
        </w:rPr>
        <w:t>150, 151, 153, 184, 187, 192, 218 and 219.</w:t>
      </w:r>
      <w:proofErr w:type="gramEnd"/>
    </w:p>
  </w:footnote>
  <w:footnote w:id="137">
    <w:p w:rsidR="00F02DA6" w:rsidRPr="00D11A4C" w:rsidRDefault="00F02DA6" w:rsidP="00793D34">
      <w:pPr>
        <w:pStyle w:val="FootnoteText"/>
        <w:rPr>
          <w:rFonts w:ascii="Arial" w:hAnsi="Arial" w:cs="Arial"/>
          <w:lang w:val="en-ZA"/>
        </w:rPr>
      </w:pPr>
      <w:r w:rsidRPr="00E91CC3">
        <w:rPr>
          <w:rStyle w:val="FootnoteReference"/>
          <w:rFonts w:ascii="Arial" w:hAnsi="Arial" w:cs="Arial"/>
        </w:rPr>
        <w:footnoteRef/>
      </w:r>
      <w:r w:rsidRPr="00E91CC3">
        <w:rPr>
          <w:rFonts w:ascii="Arial" w:hAnsi="Arial" w:cs="Arial"/>
        </w:rPr>
        <w:t xml:space="preserve"> </w:t>
      </w:r>
      <w:proofErr w:type="gramStart"/>
      <w:r w:rsidRPr="00E91CC3">
        <w:rPr>
          <w:rFonts w:ascii="Arial" w:hAnsi="Arial" w:cs="Arial"/>
          <w:lang w:val="en-US"/>
        </w:rPr>
        <w:t>Transcript, at pages 1540 and further.</w:t>
      </w:r>
      <w:proofErr w:type="gramEnd"/>
    </w:p>
  </w:footnote>
  <w:footnote w:id="138">
    <w:p w:rsidR="00F02DA6" w:rsidRPr="007820F6" w:rsidRDefault="00F02DA6" w:rsidP="00793D34">
      <w:pPr>
        <w:pStyle w:val="FootnoteText"/>
        <w:rPr>
          <w:rFonts w:ascii="Arial" w:hAnsi="Arial" w:cs="Arial"/>
          <w:lang w:val="en-ZA"/>
        </w:rPr>
      </w:pPr>
      <w:r w:rsidRPr="00D11A4C">
        <w:rPr>
          <w:rStyle w:val="FootnoteReference"/>
          <w:rFonts w:ascii="Arial" w:hAnsi="Arial" w:cs="Arial"/>
        </w:rPr>
        <w:footnoteRef/>
      </w:r>
      <w:r w:rsidRPr="00D11A4C">
        <w:rPr>
          <w:rFonts w:ascii="Arial" w:hAnsi="Arial" w:cs="Arial"/>
        </w:rPr>
        <w:t xml:space="preserve"> </w:t>
      </w:r>
      <w:proofErr w:type="gramStart"/>
      <w:r w:rsidRPr="00D11A4C">
        <w:rPr>
          <w:rFonts w:ascii="Arial" w:hAnsi="Arial" w:cs="Arial"/>
          <w:lang w:val="en-US"/>
        </w:rPr>
        <w:t>Transcript, page 1540.</w:t>
      </w:r>
      <w:proofErr w:type="gramEnd"/>
    </w:p>
  </w:footnote>
  <w:footnote w:id="139">
    <w:p w:rsidR="00F02DA6" w:rsidRPr="003A0C51" w:rsidRDefault="00F02DA6" w:rsidP="00BD75E4">
      <w:pPr>
        <w:pStyle w:val="NoSpacing"/>
        <w:rPr>
          <w:rFonts w:ascii="Arial" w:hAnsi="Arial" w:cs="Arial"/>
          <w:sz w:val="20"/>
          <w:szCs w:val="20"/>
        </w:rPr>
      </w:pPr>
      <w:r w:rsidRPr="003A0C51">
        <w:rPr>
          <w:rStyle w:val="FootnoteReference"/>
          <w:rFonts w:ascii="Arial" w:hAnsi="Arial" w:cs="Arial"/>
          <w:sz w:val="20"/>
          <w:szCs w:val="20"/>
        </w:rPr>
        <w:footnoteRef/>
      </w:r>
      <w:r w:rsidRPr="003A0C51">
        <w:rPr>
          <w:rFonts w:ascii="Arial" w:hAnsi="Arial" w:cs="Arial"/>
          <w:sz w:val="20"/>
          <w:szCs w:val="20"/>
        </w:rPr>
        <w:t xml:space="preserve"> </w:t>
      </w:r>
      <w:r w:rsidRPr="003A0C51">
        <w:rPr>
          <w:rFonts w:ascii="Arial" w:hAnsi="Arial" w:cs="Arial"/>
          <w:i/>
          <w:sz w:val="20"/>
          <w:szCs w:val="20"/>
        </w:rPr>
        <w:t>Inter alia</w:t>
      </w:r>
      <w:r w:rsidRPr="003A0C51">
        <w:rPr>
          <w:rFonts w:ascii="Arial" w:hAnsi="Arial" w:cs="Arial"/>
          <w:sz w:val="20"/>
          <w:szCs w:val="20"/>
        </w:rPr>
        <w:t xml:space="preserve"> </w:t>
      </w:r>
      <w:r w:rsidRPr="003A0C51">
        <w:rPr>
          <w:rFonts w:ascii="Arial" w:hAnsi="Arial" w:cs="Arial"/>
          <w:sz w:val="20"/>
          <w:szCs w:val="20"/>
          <w:lang w:val="en-GB"/>
        </w:rPr>
        <w:t>Leveugle</w:t>
      </w:r>
      <w:r w:rsidRPr="003A0C51">
        <w:rPr>
          <w:rFonts w:ascii="Arial" w:hAnsi="Arial" w:cs="Arial"/>
          <w:sz w:val="20"/>
          <w:szCs w:val="20"/>
        </w:rPr>
        <w:t>’s witness statement</w:t>
      </w:r>
      <w:r w:rsidRPr="003A0C51">
        <w:rPr>
          <w:rFonts w:ascii="Arial" w:hAnsi="Arial" w:cs="Arial"/>
          <w:sz w:val="20"/>
          <w:szCs w:val="20"/>
          <w:lang w:val="en-GB"/>
        </w:rPr>
        <w:t>, para</w:t>
      </w:r>
      <w:r w:rsidRPr="003A0C51">
        <w:rPr>
          <w:rFonts w:ascii="Arial" w:hAnsi="Arial" w:cs="Arial"/>
          <w:sz w:val="20"/>
          <w:szCs w:val="20"/>
        </w:rPr>
        <w:t>graph 5.8</w:t>
      </w:r>
      <w:r w:rsidRPr="003A0C51">
        <w:rPr>
          <w:rFonts w:ascii="Arial" w:hAnsi="Arial" w:cs="Arial"/>
          <w:sz w:val="20"/>
          <w:szCs w:val="20"/>
          <w:lang w:val="en-GB"/>
        </w:rPr>
        <w:t>.</w:t>
      </w:r>
    </w:p>
  </w:footnote>
  <w:footnote w:id="140">
    <w:p w:rsidR="00F02DA6" w:rsidRPr="003A0C51" w:rsidRDefault="00F02DA6">
      <w:pPr>
        <w:pStyle w:val="FootnoteText"/>
        <w:rPr>
          <w:rFonts w:ascii="Arial" w:hAnsi="Arial" w:cs="Arial"/>
          <w:lang w:val="en-ZA"/>
        </w:rPr>
      </w:pPr>
      <w:r w:rsidRPr="003A0C51">
        <w:rPr>
          <w:rStyle w:val="FootnoteReference"/>
          <w:rFonts w:ascii="Arial" w:hAnsi="Arial" w:cs="Arial"/>
        </w:rPr>
        <w:footnoteRef/>
      </w:r>
      <w:r w:rsidRPr="003A0C51">
        <w:rPr>
          <w:rFonts w:ascii="Arial" w:hAnsi="Arial" w:cs="Arial"/>
        </w:rPr>
        <w:t xml:space="preserve"> </w:t>
      </w:r>
      <w:r w:rsidRPr="003A0C51">
        <w:rPr>
          <w:rFonts w:ascii="Arial" w:hAnsi="Arial" w:cs="Arial"/>
          <w:i/>
        </w:rPr>
        <w:t>Trademark Licence</w:t>
      </w:r>
      <w:r w:rsidRPr="003A0C51">
        <w:rPr>
          <w:rFonts w:ascii="Arial" w:hAnsi="Arial" w:cs="Arial"/>
          <w:i/>
          <w:lang w:val="en-US"/>
        </w:rPr>
        <w:t xml:space="preserve"> Agreement</w:t>
      </w:r>
      <w:r w:rsidRPr="003A0C51">
        <w:rPr>
          <w:rFonts w:ascii="Arial" w:hAnsi="Arial" w:cs="Arial"/>
          <w:lang w:val="en-US"/>
        </w:rPr>
        <w:t>, record pages 1439 and further.</w:t>
      </w:r>
    </w:p>
  </w:footnote>
  <w:footnote w:id="141">
    <w:p w:rsidR="00F02DA6" w:rsidRPr="0012610F" w:rsidRDefault="00F02DA6">
      <w:pPr>
        <w:pStyle w:val="FootnoteText"/>
        <w:rPr>
          <w:rFonts w:ascii="Arial" w:hAnsi="Arial" w:cs="Arial"/>
          <w:lang w:val="en-ZA"/>
        </w:rPr>
      </w:pPr>
      <w:r w:rsidRPr="003A0C51">
        <w:rPr>
          <w:rStyle w:val="FootnoteReference"/>
          <w:rFonts w:ascii="Arial" w:hAnsi="Arial" w:cs="Arial"/>
        </w:rPr>
        <w:footnoteRef/>
      </w:r>
      <w:r w:rsidRPr="003A0C51">
        <w:rPr>
          <w:rFonts w:ascii="Arial" w:hAnsi="Arial" w:cs="Arial"/>
        </w:rPr>
        <w:t xml:space="preserve"> </w:t>
      </w:r>
      <w:r w:rsidRPr="0012610F">
        <w:rPr>
          <w:rFonts w:ascii="Arial" w:hAnsi="Arial" w:cs="Arial"/>
          <w:lang w:val="en-US"/>
        </w:rPr>
        <w:t>See, for example, the Arkema Annual Report at pages 214 and 411 to 415.</w:t>
      </w:r>
    </w:p>
  </w:footnote>
  <w:footnote w:id="142">
    <w:p w:rsidR="00F02DA6" w:rsidRPr="0065069D" w:rsidRDefault="00F02DA6">
      <w:pPr>
        <w:pStyle w:val="FootnoteText"/>
        <w:rPr>
          <w:rFonts w:ascii="Arial" w:hAnsi="Arial" w:cs="Arial"/>
          <w:lang w:val="en-ZA"/>
        </w:rPr>
      </w:pPr>
      <w:r w:rsidRPr="0012610F">
        <w:rPr>
          <w:rStyle w:val="FootnoteReference"/>
          <w:rFonts w:ascii="Arial" w:hAnsi="Arial" w:cs="Arial"/>
        </w:rPr>
        <w:footnoteRef/>
      </w:r>
      <w:r w:rsidRPr="0012610F">
        <w:rPr>
          <w:rFonts w:ascii="Arial" w:hAnsi="Arial" w:cs="Arial"/>
        </w:rPr>
        <w:t xml:space="preserve"> </w:t>
      </w:r>
      <w:proofErr w:type="gramStart"/>
      <w:r w:rsidRPr="0012610F">
        <w:rPr>
          <w:rFonts w:ascii="Arial" w:hAnsi="Arial" w:cs="Arial"/>
        </w:rPr>
        <w:t xml:space="preserve">Record pages </w:t>
      </w:r>
      <w:r w:rsidRPr="0012610F">
        <w:rPr>
          <w:rFonts w:ascii="Arial" w:hAnsi="Arial" w:cs="Arial"/>
          <w:lang w:val="en-US"/>
        </w:rPr>
        <w:t>2553 to 2555.</w:t>
      </w:r>
      <w:proofErr w:type="gramEnd"/>
    </w:p>
  </w:footnote>
  <w:footnote w:id="143">
    <w:p w:rsidR="00F02DA6" w:rsidRPr="0065069D" w:rsidRDefault="00F02DA6" w:rsidP="008F048F">
      <w:pPr>
        <w:pStyle w:val="NoSpacing"/>
        <w:rPr>
          <w:rFonts w:ascii="Arial" w:hAnsi="Arial" w:cs="Arial"/>
          <w:sz w:val="20"/>
          <w:szCs w:val="20"/>
        </w:rPr>
      </w:pPr>
      <w:r w:rsidRPr="0065069D">
        <w:rPr>
          <w:rStyle w:val="FootnoteReference"/>
          <w:rFonts w:ascii="Arial" w:hAnsi="Arial" w:cs="Arial"/>
          <w:sz w:val="20"/>
          <w:szCs w:val="20"/>
        </w:rPr>
        <w:footnoteRef/>
      </w:r>
      <w:r w:rsidRPr="0065069D">
        <w:rPr>
          <w:rFonts w:ascii="Arial" w:hAnsi="Arial" w:cs="Arial"/>
          <w:sz w:val="20"/>
          <w:szCs w:val="20"/>
        </w:rPr>
        <w:t xml:space="preserve"> </w:t>
      </w:r>
      <w:proofErr w:type="gramStart"/>
      <w:r w:rsidRPr="0065069D">
        <w:rPr>
          <w:rFonts w:ascii="Arial" w:hAnsi="Arial" w:cs="Arial"/>
          <w:sz w:val="20"/>
          <w:szCs w:val="20"/>
        </w:rPr>
        <w:t>Souchon, transcript page 1162.</w:t>
      </w:r>
      <w:proofErr w:type="gramEnd"/>
    </w:p>
  </w:footnote>
  <w:footnote w:id="144">
    <w:p w:rsidR="00F02DA6" w:rsidRPr="0065069D" w:rsidRDefault="00F02DA6" w:rsidP="008F048F">
      <w:pPr>
        <w:pStyle w:val="NoSpacing"/>
        <w:rPr>
          <w:rFonts w:ascii="Arial" w:hAnsi="Arial" w:cs="Arial"/>
          <w:sz w:val="20"/>
          <w:szCs w:val="20"/>
        </w:rPr>
      </w:pPr>
      <w:r w:rsidRPr="0065069D">
        <w:rPr>
          <w:rStyle w:val="FootnoteReference"/>
          <w:rFonts w:ascii="Arial" w:hAnsi="Arial" w:cs="Arial"/>
          <w:sz w:val="20"/>
          <w:szCs w:val="20"/>
        </w:rPr>
        <w:footnoteRef/>
      </w:r>
      <w:r w:rsidRPr="0065069D">
        <w:rPr>
          <w:rFonts w:ascii="Arial" w:hAnsi="Arial" w:cs="Arial"/>
          <w:sz w:val="20"/>
          <w:szCs w:val="20"/>
        </w:rPr>
        <w:t xml:space="preserve"> </w:t>
      </w:r>
      <w:proofErr w:type="gramStart"/>
      <w:r w:rsidRPr="0065069D">
        <w:rPr>
          <w:rFonts w:ascii="Arial" w:hAnsi="Arial" w:cs="Arial"/>
          <w:sz w:val="20"/>
          <w:szCs w:val="20"/>
        </w:rPr>
        <w:t>Souchon, transcript page 1164.</w:t>
      </w:r>
      <w:proofErr w:type="gramEnd"/>
    </w:p>
  </w:footnote>
  <w:footnote w:id="145">
    <w:p w:rsidR="00F02DA6" w:rsidRPr="0065069D" w:rsidRDefault="00F02DA6" w:rsidP="008F048F">
      <w:pPr>
        <w:pStyle w:val="NoSpacing"/>
        <w:rPr>
          <w:rFonts w:ascii="Arial" w:hAnsi="Arial" w:cs="Arial"/>
          <w:sz w:val="20"/>
          <w:szCs w:val="20"/>
        </w:rPr>
      </w:pPr>
      <w:r w:rsidRPr="0065069D">
        <w:rPr>
          <w:rStyle w:val="FootnoteReference"/>
          <w:rFonts w:ascii="Arial" w:hAnsi="Arial" w:cs="Arial"/>
          <w:sz w:val="20"/>
          <w:szCs w:val="20"/>
        </w:rPr>
        <w:footnoteRef/>
      </w:r>
      <w:r w:rsidRPr="0065069D">
        <w:rPr>
          <w:rFonts w:ascii="Arial" w:hAnsi="Arial" w:cs="Arial"/>
          <w:sz w:val="20"/>
          <w:szCs w:val="20"/>
        </w:rPr>
        <w:t xml:space="preserve"> </w:t>
      </w:r>
      <w:proofErr w:type="gramStart"/>
      <w:r w:rsidRPr="0065069D">
        <w:rPr>
          <w:rFonts w:ascii="Arial" w:hAnsi="Arial" w:cs="Arial"/>
          <w:sz w:val="20"/>
          <w:szCs w:val="20"/>
        </w:rPr>
        <w:t>Perrow, transcript page 937.</w:t>
      </w:r>
      <w:proofErr w:type="gramEnd"/>
    </w:p>
  </w:footnote>
  <w:footnote w:id="146">
    <w:p w:rsidR="00F02DA6" w:rsidRPr="0065069D" w:rsidRDefault="00F02DA6" w:rsidP="006C4773">
      <w:pPr>
        <w:pStyle w:val="FootnoteText"/>
        <w:rPr>
          <w:rFonts w:ascii="Arial" w:hAnsi="Arial" w:cs="Arial"/>
          <w:lang w:val="en-ZA"/>
        </w:rPr>
      </w:pPr>
      <w:r w:rsidRPr="0065069D">
        <w:rPr>
          <w:rStyle w:val="FootnoteReference"/>
          <w:rFonts w:ascii="Arial" w:hAnsi="Arial" w:cs="Arial"/>
        </w:rPr>
        <w:footnoteRef/>
      </w:r>
      <w:r w:rsidRPr="0065069D">
        <w:rPr>
          <w:rFonts w:ascii="Arial" w:hAnsi="Arial" w:cs="Arial"/>
        </w:rPr>
        <w:t xml:space="preserve"> </w:t>
      </w:r>
      <w:r w:rsidRPr="0065069D">
        <w:rPr>
          <w:rFonts w:ascii="Arial" w:hAnsi="Arial" w:cs="Arial"/>
          <w:lang w:val="en-US"/>
        </w:rPr>
        <w:t xml:space="preserve">Transcript, pages </w:t>
      </w:r>
      <w:r w:rsidR="00E9613C">
        <w:rPr>
          <w:rFonts w:ascii="Arial" w:hAnsi="Arial" w:cs="Arial"/>
        </w:rPr>
        <w:t>[...]</w:t>
      </w:r>
      <w:r w:rsidRPr="0065069D">
        <w:rPr>
          <w:rFonts w:ascii="Arial" w:hAnsi="Arial" w:cs="Arial"/>
          <w:lang w:val="en-US"/>
        </w:rPr>
        <w:t xml:space="preserve"> to </w:t>
      </w:r>
      <w:r w:rsidR="00E9613C">
        <w:rPr>
          <w:rFonts w:ascii="Arial" w:hAnsi="Arial" w:cs="Arial"/>
        </w:rPr>
        <w:t>[...]</w:t>
      </w:r>
      <w:r w:rsidRPr="0065069D">
        <w:rPr>
          <w:rFonts w:ascii="Arial" w:hAnsi="Arial" w:cs="Arial"/>
          <w:lang w:val="en-US"/>
        </w:rPr>
        <w:t>.</w:t>
      </w:r>
    </w:p>
  </w:footnote>
  <w:footnote w:id="147">
    <w:p w:rsidR="00F02DA6" w:rsidRPr="007468D2" w:rsidRDefault="00F02DA6" w:rsidP="006C4773">
      <w:pPr>
        <w:pStyle w:val="FootnoteText"/>
        <w:rPr>
          <w:rFonts w:ascii="Arial" w:hAnsi="Arial" w:cs="Arial"/>
          <w:lang w:val="en-ZA"/>
        </w:rPr>
      </w:pPr>
      <w:r w:rsidRPr="0065069D">
        <w:rPr>
          <w:rStyle w:val="FootnoteReference"/>
          <w:rFonts w:ascii="Arial" w:hAnsi="Arial" w:cs="Arial"/>
        </w:rPr>
        <w:footnoteRef/>
      </w:r>
      <w:r w:rsidRPr="0065069D">
        <w:rPr>
          <w:rFonts w:ascii="Arial" w:hAnsi="Arial" w:cs="Arial"/>
        </w:rPr>
        <w:t xml:space="preserve"> Transcript</w:t>
      </w:r>
      <w:r w:rsidRPr="0065069D">
        <w:rPr>
          <w:rFonts w:ascii="Arial" w:hAnsi="Arial" w:cs="Arial"/>
          <w:lang w:val="en-US"/>
        </w:rPr>
        <w:t xml:space="preserve"> page </w:t>
      </w:r>
      <w:r w:rsidR="00E9613C">
        <w:rPr>
          <w:rFonts w:ascii="Arial" w:hAnsi="Arial" w:cs="Arial"/>
        </w:rPr>
        <w:t>[...]</w:t>
      </w:r>
      <w:r w:rsidRPr="0065069D">
        <w:rPr>
          <w:rFonts w:ascii="Arial" w:hAnsi="Arial" w:cs="Arial"/>
          <w:lang w:val="en-US"/>
        </w:rPr>
        <w:t xml:space="preserve">. See also transcript, pages </w:t>
      </w:r>
      <w:r w:rsidR="00E9613C">
        <w:rPr>
          <w:rFonts w:ascii="Arial" w:hAnsi="Arial" w:cs="Arial"/>
        </w:rPr>
        <w:t>[...]</w:t>
      </w:r>
      <w:r w:rsidRPr="0065069D">
        <w:rPr>
          <w:rFonts w:ascii="Arial" w:hAnsi="Arial" w:cs="Arial"/>
          <w:lang w:val="en-US"/>
        </w:rPr>
        <w:t xml:space="preserve"> to </w:t>
      </w:r>
      <w:r w:rsidR="00E9613C">
        <w:rPr>
          <w:rFonts w:ascii="Arial" w:hAnsi="Arial" w:cs="Arial"/>
        </w:rPr>
        <w:t>[...]</w:t>
      </w:r>
      <w:r w:rsidRPr="0065069D">
        <w:rPr>
          <w:rFonts w:ascii="Arial" w:hAnsi="Arial" w:cs="Arial"/>
          <w:lang w:val="en-US"/>
        </w:rPr>
        <w:t>.</w:t>
      </w:r>
    </w:p>
  </w:footnote>
  <w:footnote w:id="148">
    <w:p w:rsidR="00F02DA6" w:rsidRPr="008053BF" w:rsidRDefault="00F02DA6" w:rsidP="00C9278D">
      <w:pPr>
        <w:pStyle w:val="FootnoteText"/>
        <w:rPr>
          <w:rFonts w:ascii="Arial" w:hAnsi="Arial" w:cs="Arial"/>
          <w:lang w:val="en-ZA"/>
        </w:rPr>
      </w:pPr>
      <w:r w:rsidRPr="008053BF">
        <w:rPr>
          <w:rStyle w:val="FootnoteReference"/>
          <w:rFonts w:ascii="Arial" w:hAnsi="Arial" w:cs="Arial"/>
        </w:rPr>
        <w:footnoteRef/>
      </w:r>
      <w:r w:rsidRPr="008053BF">
        <w:rPr>
          <w:rFonts w:ascii="Arial" w:hAnsi="Arial" w:cs="Arial"/>
        </w:rPr>
        <w:t xml:space="preserve"> </w:t>
      </w:r>
      <w:r w:rsidRPr="008053BF">
        <w:rPr>
          <w:rFonts w:ascii="Arial" w:hAnsi="Arial" w:cs="Arial"/>
          <w:lang w:val="en-ZA"/>
        </w:rPr>
        <w:t xml:space="preserve">Transcript, </w:t>
      </w:r>
      <w:r w:rsidRPr="008053BF">
        <w:rPr>
          <w:rFonts w:ascii="Arial" w:hAnsi="Arial" w:cs="Arial"/>
          <w:i/>
          <w:lang w:val="en-ZA"/>
        </w:rPr>
        <w:t>inter alia</w:t>
      </w:r>
      <w:r w:rsidRPr="008053BF">
        <w:rPr>
          <w:rFonts w:ascii="Arial" w:hAnsi="Arial" w:cs="Arial"/>
          <w:lang w:val="en-ZA"/>
        </w:rPr>
        <w:t xml:space="preserve"> page 1225.</w:t>
      </w:r>
    </w:p>
  </w:footnote>
  <w:footnote w:id="149">
    <w:p w:rsidR="00F02DA6" w:rsidRPr="008053BF" w:rsidRDefault="00F02DA6" w:rsidP="00C9278D">
      <w:pPr>
        <w:pStyle w:val="FootnoteText"/>
        <w:rPr>
          <w:rFonts w:ascii="Arial" w:hAnsi="Arial" w:cs="Arial"/>
          <w:lang w:val="en-ZA"/>
        </w:rPr>
      </w:pPr>
      <w:r w:rsidRPr="008053BF">
        <w:rPr>
          <w:rStyle w:val="FootnoteReference"/>
          <w:rFonts w:ascii="Arial" w:hAnsi="Arial" w:cs="Arial"/>
        </w:rPr>
        <w:footnoteRef/>
      </w:r>
      <w:r w:rsidRPr="008053BF">
        <w:rPr>
          <w:rFonts w:ascii="Arial" w:hAnsi="Arial" w:cs="Arial"/>
        </w:rPr>
        <w:t xml:space="preserve"> </w:t>
      </w:r>
      <w:proofErr w:type="gramStart"/>
      <w:r w:rsidRPr="008053BF">
        <w:rPr>
          <w:rFonts w:ascii="Arial" w:hAnsi="Arial" w:cs="Arial"/>
          <w:lang w:val="en-ZA"/>
        </w:rPr>
        <w:t>Transcript, page 833.</w:t>
      </w:r>
      <w:proofErr w:type="gramEnd"/>
    </w:p>
  </w:footnote>
  <w:footnote w:id="150">
    <w:p w:rsidR="00F02DA6" w:rsidRPr="008053BF" w:rsidRDefault="00F02DA6" w:rsidP="00C9278D">
      <w:pPr>
        <w:pStyle w:val="FootnoteText"/>
        <w:rPr>
          <w:rFonts w:ascii="Arial" w:hAnsi="Arial" w:cs="Arial"/>
          <w:lang w:val="en-ZA"/>
        </w:rPr>
      </w:pPr>
      <w:r w:rsidRPr="008053BF">
        <w:rPr>
          <w:rStyle w:val="FootnoteReference"/>
          <w:rFonts w:ascii="Arial" w:hAnsi="Arial" w:cs="Arial"/>
        </w:rPr>
        <w:footnoteRef/>
      </w:r>
      <w:r w:rsidRPr="008053BF">
        <w:rPr>
          <w:rFonts w:ascii="Arial" w:hAnsi="Arial" w:cs="Arial"/>
        </w:rPr>
        <w:t xml:space="preserve"> </w:t>
      </w:r>
      <w:proofErr w:type="gramStart"/>
      <w:r w:rsidRPr="008053BF">
        <w:rPr>
          <w:rFonts w:ascii="Arial" w:hAnsi="Arial" w:cs="Arial"/>
          <w:lang w:val="en-ZA"/>
        </w:rPr>
        <w:t>Transcript, page 833.</w:t>
      </w:r>
      <w:proofErr w:type="gramEnd"/>
    </w:p>
  </w:footnote>
  <w:footnote w:id="151">
    <w:p w:rsidR="00F02DA6" w:rsidRPr="008053BF" w:rsidRDefault="00F02DA6" w:rsidP="00C9278D">
      <w:pPr>
        <w:pStyle w:val="FootnoteText"/>
        <w:rPr>
          <w:rFonts w:ascii="Arial" w:hAnsi="Arial" w:cs="Arial"/>
          <w:lang w:val="en-ZA"/>
        </w:rPr>
      </w:pPr>
      <w:r w:rsidRPr="008053BF">
        <w:rPr>
          <w:rStyle w:val="FootnoteReference"/>
          <w:rFonts w:ascii="Arial" w:hAnsi="Arial" w:cs="Arial"/>
        </w:rPr>
        <w:footnoteRef/>
      </w:r>
      <w:r w:rsidRPr="008053BF">
        <w:rPr>
          <w:rFonts w:ascii="Arial" w:hAnsi="Arial" w:cs="Arial"/>
        </w:rPr>
        <w:t xml:space="preserve"> </w:t>
      </w:r>
      <w:proofErr w:type="gramStart"/>
      <w:r w:rsidRPr="008053BF">
        <w:rPr>
          <w:rFonts w:ascii="Arial" w:hAnsi="Arial" w:cs="Arial"/>
          <w:lang w:val="en-ZA"/>
        </w:rPr>
        <w:t>Transcript, page 1224.</w:t>
      </w:r>
      <w:proofErr w:type="gramEnd"/>
    </w:p>
  </w:footnote>
  <w:footnote w:id="152">
    <w:p w:rsidR="00F02DA6" w:rsidRPr="008053BF" w:rsidRDefault="00F02DA6" w:rsidP="00C9278D">
      <w:pPr>
        <w:pStyle w:val="FootnoteText"/>
        <w:rPr>
          <w:rFonts w:ascii="Arial" w:hAnsi="Arial" w:cs="Arial"/>
          <w:lang w:val="en-ZA"/>
        </w:rPr>
      </w:pPr>
      <w:r w:rsidRPr="008053BF">
        <w:rPr>
          <w:rStyle w:val="FootnoteReference"/>
          <w:rFonts w:ascii="Arial" w:hAnsi="Arial" w:cs="Arial"/>
        </w:rPr>
        <w:footnoteRef/>
      </w:r>
      <w:r w:rsidRPr="008053BF">
        <w:rPr>
          <w:rFonts w:ascii="Arial" w:hAnsi="Arial" w:cs="Arial"/>
        </w:rPr>
        <w:t xml:space="preserve"> </w:t>
      </w:r>
      <w:proofErr w:type="gramStart"/>
      <w:r w:rsidRPr="008053BF">
        <w:rPr>
          <w:rFonts w:ascii="Arial" w:hAnsi="Arial" w:cs="Arial"/>
          <w:lang w:val="en-ZA"/>
        </w:rPr>
        <w:t>Transcript, page 1279.</w:t>
      </w:r>
      <w:proofErr w:type="gramEnd"/>
    </w:p>
  </w:footnote>
  <w:footnote w:id="153">
    <w:p w:rsidR="00F02DA6" w:rsidRPr="008053BF" w:rsidRDefault="00F02DA6">
      <w:pPr>
        <w:pStyle w:val="FootnoteText"/>
        <w:rPr>
          <w:rFonts w:ascii="Arial" w:hAnsi="Arial" w:cs="Arial"/>
          <w:lang w:val="en-ZA"/>
        </w:rPr>
      </w:pPr>
      <w:r w:rsidRPr="008053BF">
        <w:rPr>
          <w:rStyle w:val="FootnoteReference"/>
          <w:rFonts w:ascii="Arial" w:hAnsi="Arial" w:cs="Arial"/>
        </w:rPr>
        <w:footnoteRef/>
      </w:r>
      <w:r w:rsidRPr="008053BF">
        <w:rPr>
          <w:rFonts w:ascii="Arial" w:hAnsi="Arial" w:cs="Arial"/>
        </w:rPr>
        <w:t xml:space="preserve"> </w:t>
      </w:r>
      <w:proofErr w:type="gramStart"/>
      <w:r>
        <w:rPr>
          <w:rFonts w:ascii="Arial" w:hAnsi="Arial" w:cs="Arial"/>
        </w:rPr>
        <w:t>Specifically t</w:t>
      </w:r>
      <w:r w:rsidRPr="008053BF">
        <w:rPr>
          <w:rFonts w:ascii="Arial" w:hAnsi="Arial" w:cs="Arial"/>
          <w:lang w:val="en-ZA"/>
        </w:rPr>
        <w:t>he distribution business and customer base.</w:t>
      </w:r>
      <w:proofErr w:type="gramEnd"/>
    </w:p>
  </w:footnote>
  <w:footnote w:id="154">
    <w:p w:rsidR="00F02DA6" w:rsidRPr="008053BF" w:rsidRDefault="00F02DA6" w:rsidP="00C9278D">
      <w:pPr>
        <w:pStyle w:val="FootnoteText"/>
        <w:rPr>
          <w:rFonts w:ascii="Arial" w:hAnsi="Arial" w:cs="Arial"/>
          <w:lang w:val="en-ZA"/>
        </w:rPr>
      </w:pPr>
      <w:r w:rsidRPr="008053BF">
        <w:rPr>
          <w:rStyle w:val="FootnoteReference"/>
          <w:rFonts w:ascii="Arial" w:hAnsi="Arial" w:cs="Arial"/>
        </w:rPr>
        <w:footnoteRef/>
      </w:r>
      <w:r w:rsidRPr="008053BF">
        <w:rPr>
          <w:rFonts w:ascii="Arial" w:hAnsi="Arial" w:cs="Arial"/>
        </w:rPr>
        <w:t xml:space="preserve"> </w:t>
      </w:r>
      <w:r w:rsidRPr="008053BF">
        <w:rPr>
          <w:rFonts w:ascii="Arial" w:hAnsi="Arial" w:cs="Arial"/>
          <w:lang w:val="en-ZA"/>
        </w:rPr>
        <w:t>Transcript, pages 1212 and 1213</w:t>
      </w:r>
      <w:r w:rsidRPr="008053BF">
        <w:rPr>
          <w:rFonts w:ascii="Arial" w:hAnsi="Arial" w:cs="Arial"/>
          <w:lang w:val="en-US"/>
        </w:rPr>
        <w:t>.</w:t>
      </w:r>
    </w:p>
  </w:footnote>
  <w:footnote w:id="155">
    <w:p w:rsidR="00F02DA6" w:rsidRPr="007468D2" w:rsidRDefault="00F02DA6" w:rsidP="00242DB0">
      <w:pPr>
        <w:pStyle w:val="FootnoteText"/>
        <w:rPr>
          <w:rFonts w:ascii="Arial" w:hAnsi="Arial" w:cs="Arial"/>
          <w:lang w:val="en-ZA"/>
        </w:rPr>
      </w:pPr>
      <w:r w:rsidRPr="008053BF">
        <w:rPr>
          <w:rStyle w:val="FootnoteReference"/>
          <w:rFonts w:ascii="Arial" w:hAnsi="Arial" w:cs="Arial"/>
        </w:rPr>
        <w:footnoteRef/>
      </w:r>
      <w:r w:rsidRPr="008053BF">
        <w:rPr>
          <w:rFonts w:ascii="Arial" w:hAnsi="Arial" w:cs="Arial"/>
        </w:rPr>
        <w:t xml:space="preserve"> </w:t>
      </w:r>
      <w:r w:rsidRPr="008053BF">
        <w:rPr>
          <w:rFonts w:ascii="Arial" w:hAnsi="Arial" w:cs="Arial"/>
          <w:lang w:val="en-US"/>
        </w:rPr>
        <w:t xml:space="preserve">Transcript, </w:t>
      </w:r>
      <w:r w:rsidRPr="008053BF">
        <w:rPr>
          <w:rFonts w:ascii="Arial" w:hAnsi="Arial" w:cs="Arial"/>
          <w:i/>
          <w:lang w:val="en-US"/>
        </w:rPr>
        <w:t>inter alia</w:t>
      </w:r>
      <w:r w:rsidRPr="008053BF">
        <w:rPr>
          <w:rFonts w:ascii="Arial" w:hAnsi="Arial" w:cs="Arial"/>
          <w:lang w:val="en-US"/>
        </w:rPr>
        <w:t xml:space="preserve"> page 1281.</w:t>
      </w:r>
    </w:p>
  </w:footnote>
  <w:footnote w:id="156">
    <w:p w:rsidR="00F02DA6" w:rsidRPr="007468D2" w:rsidRDefault="00F02DA6" w:rsidP="00242DB0">
      <w:pPr>
        <w:pStyle w:val="FootnoteText"/>
        <w:rPr>
          <w:rFonts w:ascii="Arial" w:hAnsi="Arial" w:cs="Arial"/>
          <w:lang w:val="en-ZA"/>
        </w:rPr>
      </w:pPr>
      <w:r w:rsidRPr="007468D2">
        <w:rPr>
          <w:rStyle w:val="FootnoteReference"/>
          <w:rFonts w:ascii="Arial" w:hAnsi="Arial" w:cs="Arial"/>
        </w:rPr>
        <w:footnoteRef/>
      </w:r>
      <w:r w:rsidRPr="007468D2">
        <w:rPr>
          <w:rFonts w:ascii="Arial" w:hAnsi="Arial" w:cs="Arial"/>
        </w:rPr>
        <w:t xml:space="preserve"> </w:t>
      </w:r>
      <w:proofErr w:type="gramStart"/>
      <w:r w:rsidRPr="007468D2">
        <w:rPr>
          <w:rFonts w:ascii="Arial" w:hAnsi="Arial" w:cs="Arial"/>
          <w:lang w:val="en-US"/>
        </w:rPr>
        <w:t>Transcript, page 1281.</w:t>
      </w:r>
      <w:proofErr w:type="gramEnd"/>
    </w:p>
  </w:footnote>
  <w:footnote w:id="157">
    <w:p w:rsidR="00F02DA6" w:rsidRPr="007468D2" w:rsidRDefault="00F02DA6" w:rsidP="00242DB0">
      <w:pPr>
        <w:pStyle w:val="FootnoteText"/>
        <w:rPr>
          <w:rFonts w:ascii="Arial" w:hAnsi="Arial" w:cs="Arial"/>
          <w:lang w:val="en-ZA"/>
        </w:rPr>
      </w:pPr>
      <w:r w:rsidRPr="007468D2">
        <w:rPr>
          <w:rStyle w:val="FootnoteReference"/>
          <w:rFonts w:ascii="Arial" w:hAnsi="Arial" w:cs="Arial"/>
        </w:rPr>
        <w:footnoteRef/>
      </w:r>
      <w:r w:rsidRPr="007468D2">
        <w:rPr>
          <w:rFonts w:ascii="Arial" w:hAnsi="Arial" w:cs="Arial"/>
        </w:rPr>
        <w:t xml:space="preserve"> </w:t>
      </w:r>
      <w:r w:rsidRPr="007468D2">
        <w:rPr>
          <w:rFonts w:ascii="Arial" w:hAnsi="Arial" w:cs="Arial"/>
          <w:lang w:val="en-US"/>
        </w:rPr>
        <w:t>Transcript, pages 1268 and 1269.</w:t>
      </w:r>
    </w:p>
  </w:footnote>
  <w:footnote w:id="158">
    <w:p w:rsidR="00F02DA6" w:rsidRPr="007468D2" w:rsidRDefault="00F02DA6" w:rsidP="00793D34">
      <w:pPr>
        <w:pStyle w:val="FootnoteText"/>
        <w:rPr>
          <w:rFonts w:ascii="Arial" w:hAnsi="Arial" w:cs="Arial"/>
          <w:lang w:val="en-ZA"/>
        </w:rPr>
      </w:pPr>
      <w:r w:rsidRPr="007468D2">
        <w:rPr>
          <w:rStyle w:val="FootnoteReference"/>
          <w:rFonts w:ascii="Arial" w:hAnsi="Arial" w:cs="Arial"/>
        </w:rPr>
        <w:footnoteRef/>
      </w:r>
      <w:r w:rsidRPr="007468D2">
        <w:rPr>
          <w:rFonts w:ascii="Arial" w:hAnsi="Arial" w:cs="Arial"/>
        </w:rPr>
        <w:t xml:space="preserve"> </w:t>
      </w:r>
      <w:proofErr w:type="gramStart"/>
      <w:r w:rsidRPr="007468D2">
        <w:rPr>
          <w:rFonts w:ascii="Arial" w:hAnsi="Arial" w:cs="Arial"/>
        </w:rPr>
        <w:t>Moosa, transcript page 1312.</w:t>
      </w:r>
      <w:proofErr w:type="gramEnd"/>
    </w:p>
  </w:footnote>
  <w:footnote w:id="159">
    <w:p w:rsidR="00F02DA6" w:rsidRPr="007468D2" w:rsidRDefault="00F02DA6" w:rsidP="004B2022">
      <w:pPr>
        <w:pStyle w:val="NoSpacing"/>
        <w:rPr>
          <w:rFonts w:ascii="Arial" w:hAnsi="Arial" w:cs="Arial"/>
          <w:sz w:val="20"/>
          <w:szCs w:val="20"/>
        </w:rPr>
      </w:pPr>
      <w:r w:rsidRPr="007468D2">
        <w:rPr>
          <w:rStyle w:val="FootnoteReference"/>
          <w:rFonts w:ascii="Arial" w:hAnsi="Arial" w:cs="Arial"/>
          <w:sz w:val="20"/>
          <w:szCs w:val="20"/>
        </w:rPr>
        <w:footnoteRef/>
      </w:r>
      <w:r w:rsidRPr="007468D2">
        <w:rPr>
          <w:rFonts w:ascii="Arial" w:hAnsi="Arial" w:cs="Arial"/>
          <w:sz w:val="20"/>
          <w:szCs w:val="20"/>
        </w:rPr>
        <w:t xml:space="preserve"> </w:t>
      </w:r>
      <w:proofErr w:type="gramStart"/>
      <w:r w:rsidRPr="007468D2">
        <w:rPr>
          <w:rFonts w:ascii="Arial" w:hAnsi="Arial" w:cs="Arial"/>
          <w:sz w:val="20"/>
          <w:szCs w:val="20"/>
        </w:rPr>
        <w:t>Moosa, transcript page 312.</w:t>
      </w:r>
      <w:proofErr w:type="gramEnd"/>
      <w:r w:rsidRPr="007468D2">
        <w:rPr>
          <w:rFonts w:ascii="Arial" w:hAnsi="Arial" w:cs="Arial"/>
          <w:sz w:val="20"/>
          <w:szCs w:val="20"/>
        </w:rPr>
        <w:t xml:space="preserve">  </w:t>
      </w:r>
    </w:p>
  </w:footnote>
  <w:footnote w:id="160">
    <w:p w:rsidR="00F02DA6" w:rsidRPr="007468D2" w:rsidRDefault="00F02DA6" w:rsidP="00A86B3D">
      <w:pPr>
        <w:pStyle w:val="FootnoteText"/>
        <w:rPr>
          <w:rFonts w:ascii="Arial" w:hAnsi="Arial" w:cs="Arial"/>
          <w:lang w:val="en-ZA"/>
        </w:rPr>
      </w:pPr>
      <w:r w:rsidRPr="007468D2">
        <w:rPr>
          <w:rStyle w:val="FootnoteReference"/>
          <w:rFonts w:ascii="Arial" w:hAnsi="Arial" w:cs="Arial"/>
        </w:rPr>
        <w:footnoteRef/>
      </w:r>
      <w:r w:rsidRPr="007468D2">
        <w:rPr>
          <w:rFonts w:ascii="Arial" w:hAnsi="Arial" w:cs="Arial"/>
        </w:rPr>
        <w:t xml:space="preserve"> See </w:t>
      </w:r>
      <w:r w:rsidRPr="007468D2">
        <w:rPr>
          <w:rFonts w:ascii="Arial" w:hAnsi="Arial" w:cs="Arial"/>
          <w:i/>
        </w:rPr>
        <w:t>inter alia</w:t>
      </w:r>
      <w:r w:rsidRPr="007468D2">
        <w:rPr>
          <w:rFonts w:ascii="Arial" w:hAnsi="Arial" w:cs="Arial"/>
        </w:rPr>
        <w:t xml:space="preserve"> Genesis Report, Table 3, record page 2704 which reflects the views on market shares submitted by Ferro and RBB. </w:t>
      </w:r>
    </w:p>
  </w:footnote>
  <w:footnote w:id="161">
    <w:p w:rsidR="00F02DA6" w:rsidRPr="007468D2" w:rsidRDefault="00F02DA6" w:rsidP="00EC5812">
      <w:pPr>
        <w:pStyle w:val="FootnoteText"/>
        <w:rPr>
          <w:rFonts w:ascii="Arial" w:hAnsi="Arial" w:cs="Arial"/>
          <w:lang w:val="en-ZA"/>
        </w:rPr>
      </w:pPr>
      <w:r w:rsidRPr="007468D2">
        <w:rPr>
          <w:rStyle w:val="FootnoteReference"/>
          <w:rFonts w:ascii="Arial" w:hAnsi="Arial" w:cs="Arial"/>
        </w:rPr>
        <w:footnoteRef/>
      </w:r>
      <w:r w:rsidRPr="007468D2">
        <w:rPr>
          <w:rFonts w:ascii="Arial" w:hAnsi="Arial" w:cs="Arial"/>
        </w:rPr>
        <w:t xml:space="preserve"> Souchon’s witness statement, paragraph 6.2, </w:t>
      </w:r>
      <w:r>
        <w:rPr>
          <w:rFonts w:ascii="Arial" w:hAnsi="Arial" w:cs="Arial"/>
        </w:rPr>
        <w:t xml:space="preserve">record </w:t>
      </w:r>
      <w:r w:rsidRPr="007468D2">
        <w:rPr>
          <w:rFonts w:ascii="Arial" w:hAnsi="Arial" w:cs="Arial"/>
        </w:rPr>
        <w:t>page 2658.</w:t>
      </w:r>
    </w:p>
  </w:footnote>
  <w:footnote w:id="162">
    <w:p w:rsidR="00F02DA6" w:rsidRPr="007468D2" w:rsidRDefault="00F02DA6" w:rsidP="00EC5812">
      <w:pPr>
        <w:pStyle w:val="FootnoteText"/>
        <w:rPr>
          <w:rFonts w:ascii="Arial" w:hAnsi="Arial" w:cs="Arial"/>
        </w:rPr>
      </w:pPr>
      <w:r w:rsidRPr="007468D2">
        <w:rPr>
          <w:rStyle w:val="FootnoteReference"/>
          <w:rFonts w:ascii="Arial" w:hAnsi="Arial" w:cs="Arial"/>
        </w:rPr>
        <w:footnoteRef/>
      </w:r>
      <w:r w:rsidRPr="007468D2">
        <w:rPr>
          <w:rFonts w:ascii="Arial" w:hAnsi="Arial" w:cs="Arial"/>
        </w:rPr>
        <w:t xml:space="preserve"> Transcript, Perrow, page 858.</w:t>
      </w:r>
    </w:p>
  </w:footnote>
  <w:footnote w:id="163">
    <w:p w:rsidR="00F02DA6" w:rsidRPr="007468D2" w:rsidRDefault="00F02DA6" w:rsidP="00A57655">
      <w:pPr>
        <w:pStyle w:val="FootnoteText"/>
        <w:rPr>
          <w:rFonts w:ascii="Arial" w:hAnsi="Arial" w:cs="Arial"/>
          <w:lang w:val="en-ZA"/>
        </w:rPr>
      </w:pPr>
      <w:r w:rsidRPr="007468D2">
        <w:rPr>
          <w:rStyle w:val="FootnoteReference"/>
          <w:rFonts w:ascii="Arial" w:hAnsi="Arial" w:cs="Arial"/>
        </w:rPr>
        <w:footnoteRef/>
      </w:r>
      <w:r w:rsidRPr="007468D2">
        <w:rPr>
          <w:rFonts w:ascii="Arial" w:hAnsi="Arial" w:cs="Arial"/>
        </w:rPr>
        <w:t xml:space="preserve"> </w:t>
      </w:r>
      <w:proofErr w:type="gramStart"/>
      <w:r w:rsidRPr="007468D2">
        <w:rPr>
          <w:rFonts w:ascii="Arial" w:hAnsi="Arial" w:cs="Arial"/>
          <w:lang w:val="en-US"/>
        </w:rPr>
        <w:t>Transcript, Souchon, pages 1128 and 1129.</w:t>
      </w:r>
      <w:proofErr w:type="gramEnd"/>
    </w:p>
  </w:footnote>
  <w:footnote w:id="164">
    <w:p w:rsidR="00F02DA6" w:rsidRPr="00E76B33" w:rsidRDefault="00F02DA6" w:rsidP="00A57655">
      <w:pPr>
        <w:pStyle w:val="FootnoteText"/>
        <w:rPr>
          <w:rFonts w:ascii="Arial" w:hAnsi="Arial" w:cs="Arial"/>
          <w:lang w:val="en-US"/>
        </w:rPr>
      </w:pPr>
      <w:r w:rsidRPr="007468D2">
        <w:rPr>
          <w:rStyle w:val="FootnoteReference"/>
          <w:rFonts w:ascii="Arial" w:hAnsi="Arial" w:cs="Arial"/>
        </w:rPr>
        <w:footnoteRef/>
      </w:r>
      <w:r w:rsidRPr="007468D2">
        <w:rPr>
          <w:rFonts w:ascii="Arial" w:hAnsi="Arial" w:cs="Arial"/>
        </w:rPr>
        <w:t xml:space="preserve"> </w:t>
      </w:r>
      <w:r w:rsidRPr="007468D2">
        <w:rPr>
          <w:rFonts w:ascii="Arial" w:hAnsi="Arial" w:cs="Arial"/>
          <w:lang w:val="en-US"/>
        </w:rPr>
        <w:t>Transcript, Perrow, page 857.</w:t>
      </w:r>
    </w:p>
  </w:footnote>
  <w:footnote w:id="165">
    <w:p w:rsidR="00F02DA6" w:rsidRPr="007468D2" w:rsidRDefault="00F02DA6" w:rsidP="008E0470">
      <w:pPr>
        <w:pStyle w:val="FootnoteText"/>
        <w:rPr>
          <w:rFonts w:ascii="Arial" w:hAnsi="Arial" w:cs="Arial"/>
        </w:rPr>
      </w:pPr>
      <w:r w:rsidRPr="007468D2">
        <w:rPr>
          <w:rStyle w:val="FootnoteReference"/>
          <w:rFonts w:ascii="Arial" w:hAnsi="Arial" w:cs="Arial"/>
        </w:rPr>
        <w:footnoteRef/>
      </w:r>
      <w:r w:rsidRPr="007468D2">
        <w:rPr>
          <w:rFonts w:ascii="Arial" w:hAnsi="Arial" w:cs="Arial"/>
        </w:rPr>
        <w:t xml:space="preserve"> Perrow’s witness statement, paragraph 23, record page 2474.</w:t>
      </w:r>
    </w:p>
  </w:footnote>
  <w:footnote w:id="166">
    <w:p w:rsidR="00F02DA6" w:rsidRPr="007468D2" w:rsidRDefault="00F02DA6" w:rsidP="008E0470">
      <w:pPr>
        <w:pStyle w:val="FootnoteText"/>
        <w:rPr>
          <w:rFonts w:ascii="Arial" w:hAnsi="Arial" w:cs="Arial"/>
        </w:rPr>
      </w:pPr>
      <w:r w:rsidRPr="007468D2">
        <w:rPr>
          <w:rStyle w:val="FootnoteReference"/>
          <w:rFonts w:ascii="Arial" w:hAnsi="Arial" w:cs="Arial"/>
        </w:rPr>
        <w:footnoteRef/>
      </w:r>
      <w:r w:rsidRPr="007468D2">
        <w:rPr>
          <w:rFonts w:ascii="Arial" w:hAnsi="Arial" w:cs="Arial"/>
        </w:rPr>
        <w:t xml:space="preserve"> </w:t>
      </w:r>
      <w:proofErr w:type="gramStart"/>
      <w:r w:rsidRPr="007468D2">
        <w:rPr>
          <w:rFonts w:ascii="Arial" w:hAnsi="Arial" w:cs="Arial"/>
        </w:rPr>
        <w:t>Transcript, page 867.</w:t>
      </w:r>
      <w:proofErr w:type="gramEnd"/>
    </w:p>
  </w:footnote>
  <w:footnote w:id="167">
    <w:p w:rsidR="00F02DA6" w:rsidRPr="007468D2" w:rsidRDefault="00F02DA6">
      <w:pPr>
        <w:pStyle w:val="FootnoteText"/>
        <w:rPr>
          <w:rFonts w:ascii="Arial" w:hAnsi="Arial" w:cs="Arial"/>
          <w:lang w:val="en-ZA"/>
        </w:rPr>
      </w:pPr>
      <w:r w:rsidRPr="007468D2">
        <w:rPr>
          <w:rStyle w:val="FootnoteReference"/>
          <w:rFonts w:ascii="Arial" w:hAnsi="Arial" w:cs="Arial"/>
        </w:rPr>
        <w:footnoteRef/>
      </w:r>
      <w:r w:rsidRPr="007468D2">
        <w:rPr>
          <w:rFonts w:ascii="Arial" w:hAnsi="Arial" w:cs="Arial"/>
        </w:rPr>
        <w:t xml:space="preserve"> </w:t>
      </w:r>
      <w:proofErr w:type="gramStart"/>
      <w:r w:rsidRPr="007468D2">
        <w:rPr>
          <w:rFonts w:ascii="Arial" w:hAnsi="Arial" w:cs="Arial"/>
          <w:lang w:val="en-ZA"/>
        </w:rPr>
        <w:t>Transcript</w:t>
      </w:r>
      <w:r>
        <w:rPr>
          <w:rFonts w:ascii="Arial" w:hAnsi="Arial" w:cs="Arial"/>
          <w:lang w:val="en-ZA"/>
        </w:rPr>
        <w:t>,</w:t>
      </w:r>
      <w:r w:rsidRPr="007468D2">
        <w:rPr>
          <w:rFonts w:ascii="Arial" w:hAnsi="Arial" w:cs="Arial"/>
          <w:lang w:val="en-ZA"/>
        </w:rPr>
        <w:t xml:space="preserve"> page 992.</w:t>
      </w:r>
      <w:proofErr w:type="gramEnd"/>
    </w:p>
  </w:footnote>
  <w:footnote w:id="168">
    <w:p w:rsidR="00F02DA6" w:rsidRPr="007468D2" w:rsidRDefault="00F02DA6" w:rsidP="008E0470">
      <w:pPr>
        <w:pStyle w:val="FootnoteText"/>
        <w:rPr>
          <w:lang w:val="en-ZA"/>
        </w:rPr>
      </w:pPr>
      <w:r w:rsidRPr="007468D2">
        <w:rPr>
          <w:rStyle w:val="FootnoteReference"/>
          <w:rFonts w:ascii="Arial" w:hAnsi="Arial" w:cs="Arial"/>
        </w:rPr>
        <w:footnoteRef/>
      </w:r>
      <w:r w:rsidRPr="007468D2">
        <w:rPr>
          <w:rFonts w:ascii="Arial" w:hAnsi="Arial" w:cs="Arial"/>
        </w:rPr>
        <w:t xml:space="preserve"> Transcript, pages 630 and 631.</w:t>
      </w:r>
    </w:p>
  </w:footnote>
  <w:footnote w:id="169">
    <w:p w:rsidR="00F02DA6" w:rsidRPr="007468D2" w:rsidRDefault="00F02DA6" w:rsidP="008E0470">
      <w:pPr>
        <w:pStyle w:val="FootnoteText"/>
        <w:rPr>
          <w:rFonts w:ascii="Arial" w:hAnsi="Arial" w:cs="Arial"/>
          <w:lang w:val="en-ZA"/>
        </w:rPr>
      </w:pPr>
      <w:r w:rsidRPr="007468D2">
        <w:rPr>
          <w:rStyle w:val="FootnoteReference"/>
          <w:rFonts w:ascii="Arial" w:hAnsi="Arial" w:cs="Arial"/>
        </w:rPr>
        <w:footnoteRef/>
      </w:r>
      <w:r w:rsidRPr="007468D2">
        <w:rPr>
          <w:rFonts w:ascii="Arial" w:hAnsi="Arial" w:cs="Arial"/>
        </w:rPr>
        <w:t xml:space="preserve"> Neethling’s witness statement, paragraph 25, record pages 2410 and 2411.</w:t>
      </w:r>
    </w:p>
  </w:footnote>
  <w:footnote w:id="170">
    <w:p w:rsidR="00F02DA6" w:rsidRPr="00746578" w:rsidRDefault="00F02DA6" w:rsidP="00476764">
      <w:pPr>
        <w:pStyle w:val="FootnoteText"/>
        <w:rPr>
          <w:rFonts w:ascii="Arial" w:hAnsi="Arial" w:cs="Arial"/>
          <w:lang w:val="en-ZA"/>
        </w:rPr>
      </w:pPr>
      <w:r w:rsidRPr="007468D2">
        <w:rPr>
          <w:rStyle w:val="FootnoteReference"/>
          <w:rFonts w:ascii="Arial" w:hAnsi="Arial" w:cs="Arial"/>
        </w:rPr>
        <w:footnoteRef/>
      </w:r>
      <w:r w:rsidRPr="007468D2">
        <w:rPr>
          <w:rFonts w:ascii="Arial" w:hAnsi="Arial" w:cs="Arial"/>
        </w:rPr>
        <w:t xml:space="preserve"> Loukidis’ witness statement, paragraph 10, record page 2340; Coady’s witness statement, paragraphs 9, 11, 12 and 20, record pages 2346, 2347 and 2349; Yunus’ witness statement, paragraphs 17 and 19, record page 2370; Beal’s witness statement, paragraphs 28 and 33, record pages 2379 and 2380</w:t>
      </w:r>
      <w:r>
        <w:rPr>
          <w:rFonts w:ascii="Arial" w:hAnsi="Arial" w:cs="Arial"/>
        </w:rPr>
        <w:t>;</w:t>
      </w:r>
      <w:r w:rsidRPr="007468D2">
        <w:rPr>
          <w:rFonts w:ascii="Arial" w:hAnsi="Arial" w:cs="Arial"/>
        </w:rPr>
        <w:t xml:space="preserve"> Neethling’s witness statement, paragraphs 8 and 22, record pages 2407, 2409 and 2410; Du Plessis’ witness statement, paragraphs 7, 10 and 11, record pages 2352 and 2353.</w:t>
      </w:r>
    </w:p>
  </w:footnote>
  <w:footnote w:id="171">
    <w:p w:rsidR="00F02DA6" w:rsidRPr="0049542F" w:rsidRDefault="00F02DA6" w:rsidP="00476764">
      <w:pPr>
        <w:pStyle w:val="FootnoteText"/>
      </w:pPr>
      <w:r w:rsidRPr="00746578">
        <w:rPr>
          <w:rStyle w:val="FootnoteReference"/>
          <w:rFonts w:ascii="Arial" w:hAnsi="Arial" w:cs="Arial"/>
        </w:rPr>
        <w:footnoteRef/>
      </w:r>
      <w:r w:rsidRPr="00746578">
        <w:rPr>
          <w:rFonts w:ascii="Arial" w:hAnsi="Arial" w:cs="Arial"/>
        </w:rPr>
        <w:t xml:space="preserve"> </w:t>
      </w:r>
      <w:proofErr w:type="gramStart"/>
      <w:r w:rsidRPr="00754705">
        <w:rPr>
          <w:rFonts w:ascii="Arial" w:hAnsi="Arial" w:cs="Arial"/>
        </w:rPr>
        <w:t>Perrow, transcript</w:t>
      </w:r>
      <w:r>
        <w:rPr>
          <w:rFonts w:ascii="Arial" w:hAnsi="Arial" w:cs="Arial"/>
        </w:rPr>
        <w:t>,</w:t>
      </w:r>
      <w:r w:rsidRPr="00754705">
        <w:rPr>
          <w:rFonts w:ascii="Arial" w:hAnsi="Arial" w:cs="Arial"/>
        </w:rPr>
        <w:t xml:space="preserve"> pages 942 and 943.</w:t>
      </w:r>
      <w:proofErr w:type="gramEnd"/>
    </w:p>
  </w:footnote>
  <w:footnote w:id="172">
    <w:p w:rsidR="00F02DA6" w:rsidRPr="006569C7" w:rsidRDefault="00F02DA6" w:rsidP="00D07C33">
      <w:pPr>
        <w:pStyle w:val="FootnoteText"/>
        <w:rPr>
          <w:rFonts w:ascii="Arial" w:hAnsi="Arial" w:cs="Arial"/>
        </w:rPr>
      </w:pPr>
      <w:r w:rsidRPr="006569C7">
        <w:rPr>
          <w:rStyle w:val="FootnoteReference"/>
          <w:rFonts w:ascii="Arial" w:hAnsi="Arial" w:cs="Arial"/>
        </w:rPr>
        <w:footnoteRef/>
      </w:r>
      <w:r w:rsidRPr="006569C7">
        <w:rPr>
          <w:rFonts w:ascii="Arial" w:hAnsi="Arial" w:cs="Arial"/>
        </w:rPr>
        <w:t xml:space="preserve"> RBB Report, </w:t>
      </w:r>
      <w:r w:rsidRPr="006569C7">
        <w:rPr>
          <w:rFonts w:ascii="Arial" w:hAnsi="Arial" w:cs="Arial"/>
          <w:i/>
        </w:rPr>
        <w:t>inter alia</w:t>
      </w:r>
      <w:r w:rsidRPr="006569C7">
        <w:rPr>
          <w:rFonts w:ascii="Arial" w:hAnsi="Arial" w:cs="Arial"/>
        </w:rPr>
        <w:t xml:space="preserve"> Figures 19 and 20, record page 2825.</w:t>
      </w:r>
    </w:p>
  </w:footnote>
  <w:footnote w:id="173">
    <w:p w:rsidR="00F02DA6" w:rsidRPr="006569C7" w:rsidRDefault="00F02DA6" w:rsidP="008E0470">
      <w:pPr>
        <w:pStyle w:val="FootnoteText"/>
        <w:rPr>
          <w:rFonts w:ascii="Arial" w:hAnsi="Arial" w:cs="Arial"/>
          <w:lang w:val="en-ZA"/>
        </w:rPr>
      </w:pPr>
      <w:r w:rsidRPr="006569C7">
        <w:rPr>
          <w:rStyle w:val="FootnoteReference"/>
          <w:rFonts w:ascii="Arial" w:hAnsi="Arial" w:cs="Arial"/>
        </w:rPr>
        <w:footnoteRef/>
      </w:r>
      <w:r w:rsidRPr="006569C7">
        <w:rPr>
          <w:rFonts w:ascii="Arial" w:hAnsi="Arial" w:cs="Arial"/>
        </w:rPr>
        <w:t xml:space="preserve"> </w:t>
      </w:r>
      <w:proofErr w:type="gramStart"/>
      <w:r w:rsidRPr="006569C7">
        <w:rPr>
          <w:rFonts w:ascii="Arial" w:hAnsi="Arial" w:cs="Arial"/>
        </w:rPr>
        <w:t>Transcript, page 992.</w:t>
      </w:r>
      <w:proofErr w:type="gramEnd"/>
    </w:p>
  </w:footnote>
  <w:footnote w:id="174">
    <w:p w:rsidR="00F02DA6" w:rsidRPr="006569C7" w:rsidRDefault="00F02DA6" w:rsidP="00C40F76">
      <w:pPr>
        <w:pStyle w:val="FootnoteText"/>
        <w:rPr>
          <w:rFonts w:ascii="Arial" w:hAnsi="Arial" w:cs="Arial"/>
          <w:lang w:val="en-ZA"/>
        </w:rPr>
      </w:pPr>
      <w:r w:rsidRPr="006569C7">
        <w:rPr>
          <w:rStyle w:val="FootnoteReference"/>
          <w:rFonts w:ascii="Arial" w:hAnsi="Arial" w:cs="Arial"/>
        </w:rPr>
        <w:footnoteRef/>
      </w:r>
      <w:r w:rsidRPr="006569C7">
        <w:rPr>
          <w:rFonts w:ascii="Arial" w:hAnsi="Arial" w:cs="Arial"/>
        </w:rPr>
        <w:t xml:space="preserve"> </w:t>
      </w:r>
      <w:proofErr w:type="gramStart"/>
      <w:r w:rsidRPr="006569C7">
        <w:rPr>
          <w:rFonts w:ascii="Arial" w:hAnsi="Arial" w:cs="Arial"/>
          <w:lang w:val="en-US"/>
        </w:rPr>
        <w:t>Transcript, page 791.</w:t>
      </w:r>
      <w:proofErr w:type="gramEnd"/>
    </w:p>
  </w:footnote>
  <w:footnote w:id="175">
    <w:p w:rsidR="00F02DA6" w:rsidRPr="006569C7" w:rsidRDefault="00F02DA6">
      <w:pPr>
        <w:pStyle w:val="FootnoteText"/>
        <w:rPr>
          <w:lang w:val="en-ZA"/>
        </w:rPr>
      </w:pPr>
      <w:r w:rsidRPr="006569C7">
        <w:rPr>
          <w:rStyle w:val="FootnoteReference"/>
          <w:rFonts w:ascii="Arial" w:hAnsi="Arial" w:cs="Arial"/>
        </w:rPr>
        <w:footnoteRef/>
      </w:r>
      <w:r w:rsidRPr="006569C7">
        <w:rPr>
          <w:rFonts w:ascii="Arial" w:hAnsi="Arial" w:cs="Arial"/>
        </w:rPr>
        <w:t xml:space="preserve"> </w:t>
      </w:r>
      <w:proofErr w:type="gramStart"/>
      <w:r w:rsidRPr="006569C7">
        <w:rPr>
          <w:rFonts w:ascii="Arial" w:hAnsi="Arial" w:cs="Arial"/>
          <w:lang w:val="en-US"/>
        </w:rPr>
        <w:t>Transcript, page 896.</w:t>
      </w:r>
      <w:proofErr w:type="gramEnd"/>
    </w:p>
  </w:footnote>
  <w:footnote w:id="176">
    <w:p w:rsidR="00F02DA6" w:rsidRPr="007468D2" w:rsidRDefault="00F02DA6">
      <w:pPr>
        <w:pStyle w:val="FootnoteText"/>
        <w:rPr>
          <w:rFonts w:ascii="Arial" w:hAnsi="Arial" w:cs="Arial"/>
          <w:lang w:val="en-ZA"/>
        </w:rPr>
      </w:pPr>
      <w:r w:rsidRPr="007468D2">
        <w:rPr>
          <w:rStyle w:val="FootnoteReference"/>
          <w:rFonts w:ascii="Arial" w:hAnsi="Arial" w:cs="Arial"/>
        </w:rPr>
        <w:footnoteRef/>
      </w:r>
      <w:r w:rsidRPr="007468D2">
        <w:rPr>
          <w:rFonts w:ascii="Arial" w:hAnsi="Arial" w:cs="Arial"/>
        </w:rPr>
        <w:t xml:space="preserve"> </w:t>
      </w:r>
      <w:r w:rsidRPr="007468D2">
        <w:rPr>
          <w:rFonts w:ascii="Arial" w:hAnsi="Arial" w:cs="Arial"/>
          <w:lang w:val="en-US"/>
        </w:rPr>
        <w:t>Transcript, pages 992 and 993.</w:t>
      </w:r>
    </w:p>
  </w:footnote>
  <w:footnote w:id="177">
    <w:p w:rsidR="00F02DA6" w:rsidRPr="007468D2" w:rsidRDefault="00F02DA6">
      <w:pPr>
        <w:pStyle w:val="FootnoteText"/>
        <w:rPr>
          <w:rFonts w:ascii="Arial" w:hAnsi="Arial" w:cs="Arial"/>
          <w:lang w:val="en-ZA"/>
        </w:rPr>
      </w:pPr>
      <w:r w:rsidRPr="007468D2">
        <w:rPr>
          <w:rStyle w:val="FootnoteReference"/>
          <w:rFonts w:ascii="Arial" w:hAnsi="Arial" w:cs="Arial"/>
        </w:rPr>
        <w:footnoteRef/>
      </w:r>
      <w:r w:rsidRPr="007468D2">
        <w:rPr>
          <w:rFonts w:ascii="Arial" w:hAnsi="Arial" w:cs="Arial"/>
        </w:rPr>
        <w:t xml:space="preserve"> </w:t>
      </w:r>
      <w:proofErr w:type="gramStart"/>
      <w:r w:rsidRPr="007468D2">
        <w:rPr>
          <w:rFonts w:ascii="Arial" w:hAnsi="Arial" w:cs="Arial"/>
          <w:lang w:val="en-US"/>
        </w:rPr>
        <w:t>Transcript, page 992.</w:t>
      </w:r>
      <w:proofErr w:type="gramEnd"/>
    </w:p>
  </w:footnote>
  <w:footnote w:id="178">
    <w:p w:rsidR="00F02DA6" w:rsidRPr="00A31627" w:rsidRDefault="00F02DA6">
      <w:pPr>
        <w:pStyle w:val="FootnoteText"/>
        <w:rPr>
          <w:rFonts w:ascii="Arial" w:hAnsi="Arial" w:cs="Arial"/>
          <w:lang w:val="en-ZA"/>
        </w:rPr>
      </w:pPr>
      <w:r w:rsidRPr="007468D2">
        <w:rPr>
          <w:rStyle w:val="FootnoteReference"/>
          <w:rFonts w:ascii="Arial" w:hAnsi="Arial" w:cs="Arial"/>
        </w:rPr>
        <w:footnoteRef/>
      </w:r>
      <w:r w:rsidRPr="007468D2">
        <w:rPr>
          <w:rFonts w:ascii="Arial" w:hAnsi="Arial" w:cs="Arial"/>
        </w:rPr>
        <w:t xml:space="preserve"> Coady’s witness statement, paragraph 18, record page 2348; Beal’s witness statement, paragraph 28, record page 2379; Neethling’s witness statement, paragraphs 25 and 26, record pages 2410 and 2411.</w:t>
      </w:r>
    </w:p>
  </w:footnote>
  <w:footnote w:id="179">
    <w:p w:rsidR="00F02DA6" w:rsidRPr="007468D2" w:rsidRDefault="00F02DA6" w:rsidP="009D496D">
      <w:pPr>
        <w:pStyle w:val="FootnoteText"/>
        <w:rPr>
          <w:rFonts w:ascii="Arial" w:hAnsi="Arial" w:cs="Arial"/>
          <w:lang w:val="en-ZA"/>
        </w:rPr>
      </w:pPr>
      <w:r w:rsidRPr="007468D2">
        <w:rPr>
          <w:rStyle w:val="FootnoteReference"/>
          <w:rFonts w:ascii="Arial" w:hAnsi="Arial" w:cs="Arial"/>
        </w:rPr>
        <w:footnoteRef/>
      </w:r>
      <w:r w:rsidRPr="007468D2">
        <w:rPr>
          <w:rFonts w:ascii="Arial" w:hAnsi="Arial" w:cs="Arial"/>
        </w:rPr>
        <w:t xml:space="preserve"> Moosa’s witness statement, paragraph 4, record page 2389.</w:t>
      </w:r>
    </w:p>
  </w:footnote>
  <w:footnote w:id="180">
    <w:p w:rsidR="00F02DA6" w:rsidRPr="007468D2" w:rsidRDefault="00F02DA6" w:rsidP="001F0D76">
      <w:pPr>
        <w:pStyle w:val="FootnoteText"/>
        <w:rPr>
          <w:rFonts w:ascii="Arial" w:hAnsi="Arial" w:cs="Arial"/>
        </w:rPr>
      </w:pPr>
      <w:r w:rsidRPr="007468D2">
        <w:rPr>
          <w:rStyle w:val="FootnoteReference"/>
          <w:rFonts w:ascii="Arial" w:hAnsi="Arial" w:cs="Arial"/>
        </w:rPr>
        <w:footnoteRef/>
      </w:r>
      <w:r w:rsidRPr="007468D2">
        <w:rPr>
          <w:rFonts w:ascii="Arial" w:hAnsi="Arial" w:cs="Arial"/>
        </w:rPr>
        <w:t xml:space="preserve"> Moosa’s witness statement, paragraph 14, record page 2390.</w:t>
      </w:r>
    </w:p>
  </w:footnote>
  <w:footnote w:id="181">
    <w:p w:rsidR="00F02DA6" w:rsidRPr="009E3D48" w:rsidRDefault="00F02DA6" w:rsidP="009E3D48">
      <w:pPr>
        <w:pStyle w:val="FootnoteText"/>
        <w:rPr>
          <w:rFonts w:ascii="Arial" w:hAnsi="Arial" w:cs="Arial"/>
          <w:lang w:val="en-ZA"/>
        </w:rPr>
      </w:pPr>
      <w:r w:rsidRPr="007468D2">
        <w:rPr>
          <w:rStyle w:val="FootnoteReference"/>
          <w:rFonts w:ascii="Arial" w:hAnsi="Arial" w:cs="Arial"/>
        </w:rPr>
        <w:footnoteRef/>
      </w:r>
      <w:r w:rsidRPr="007468D2">
        <w:rPr>
          <w:rFonts w:ascii="Arial" w:hAnsi="Arial" w:cs="Arial"/>
        </w:rPr>
        <w:t xml:space="preserve"> Coady’s witness statement, paragraph 17, record page 2348; Yunus’ witness statement, paragraph 13, record page 2369, Beal’s witness statement, paragraph 29, record pages 2379 and 2380; Du Plessis’ witness statement, paragraph 20, record page 2355.</w:t>
      </w:r>
    </w:p>
  </w:footnote>
  <w:footnote w:id="182">
    <w:p w:rsidR="00F02DA6" w:rsidRPr="007D6CDB" w:rsidRDefault="00F02DA6">
      <w:pPr>
        <w:pStyle w:val="FootnoteText"/>
        <w:rPr>
          <w:rFonts w:ascii="Arial" w:hAnsi="Arial" w:cs="Arial"/>
          <w:highlight w:val="cyan"/>
          <w:lang w:val="en-ZA"/>
        </w:rPr>
      </w:pPr>
      <w:r w:rsidRPr="009E3D48">
        <w:rPr>
          <w:rStyle w:val="FootnoteReference"/>
          <w:rFonts w:ascii="Arial" w:hAnsi="Arial" w:cs="Arial"/>
        </w:rPr>
        <w:footnoteRef/>
      </w:r>
      <w:r w:rsidRPr="009E3D48">
        <w:rPr>
          <w:rFonts w:ascii="Arial" w:hAnsi="Arial" w:cs="Arial"/>
        </w:rPr>
        <w:t xml:space="preserve"> </w:t>
      </w:r>
      <w:r w:rsidRPr="001274EF">
        <w:rPr>
          <w:rFonts w:ascii="Arial" w:hAnsi="Arial" w:cs="Arial"/>
          <w:lang w:val="en-ZA"/>
        </w:rPr>
        <w:t xml:space="preserve">See, for example, Khan’s testimony, transcript </w:t>
      </w:r>
      <w:r w:rsidRPr="001274EF">
        <w:rPr>
          <w:rFonts w:ascii="Arial" w:hAnsi="Arial" w:cs="Arial"/>
        </w:rPr>
        <w:t xml:space="preserve">pages 1022 and 1023; Neethling, transcript page 601; Du Plessis, transcript pages 737 to 739. </w:t>
      </w:r>
    </w:p>
  </w:footnote>
  <w:footnote w:id="183">
    <w:p w:rsidR="00F02DA6" w:rsidRPr="009E3D48" w:rsidRDefault="00F02DA6">
      <w:pPr>
        <w:pStyle w:val="FootnoteText"/>
        <w:rPr>
          <w:rFonts w:ascii="Arial" w:hAnsi="Arial" w:cs="Arial"/>
          <w:lang w:val="en-ZA"/>
        </w:rPr>
      </w:pPr>
      <w:r w:rsidRPr="00990CCA">
        <w:rPr>
          <w:rStyle w:val="FootnoteReference"/>
          <w:rFonts w:ascii="Arial" w:hAnsi="Arial" w:cs="Arial"/>
        </w:rPr>
        <w:footnoteRef/>
      </w:r>
      <w:r w:rsidRPr="00990CCA">
        <w:rPr>
          <w:rFonts w:ascii="Arial" w:hAnsi="Arial" w:cs="Arial"/>
        </w:rPr>
        <w:t xml:space="preserve"> </w:t>
      </w:r>
      <w:proofErr w:type="gramStart"/>
      <w:r w:rsidRPr="00990CCA">
        <w:rPr>
          <w:rFonts w:ascii="Arial" w:hAnsi="Arial" w:cs="Arial"/>
        </w:rPr>
        <w:t>Transcript page 1204.</w:t>
      </w:r>
      <w:proofErr w:type="gramEnd"/>
    </w:p>
  </w:footnote>
  <w:footnote w:id="184">
    <w:p w:rsidR="00F02DA6" w:rsidRPr="007468D2" w:rsidRDefault="00F02DA6" w:rsidP="00272231">
      <w:pPr>
        <w:pStyle w:val="FootnoteText"/>
        <w:rPr>
          <w:rFonts w:ascii="Arial" w:hAnsi="Arial" w:cs="Arial"/>
          <w:lang w:val="en-ZA"/>
        </w:rPr>
      </w:pPr>
      <w:r w:rsidRPr="009E3D48">
        <w:rPr>
          <w:rStyle w:val="FootnoteReference"/>
          <w:rFonts w:ascii="Arial" w:hAnsi="Arial" w:cs="Arial"/>
        </w:rPr>
        <w:footnoteRef/>
      </w:r>
      <w:r w:rsidRPr="009E3D48">
        <w:rPr>
          <w:rFonts w:ascii="Arial" w:hAnsi="Arial" w:cs="Arial"/>
        </w:rPr>
        <w:t xml:space="preserve"> </w:t>
      </w:r>
      <w:proofErr w:type="gramStart"/>
      <w:r w:rsidRPr="007468D2">
        <w:rPr>
          <w:rFonts w:ascii="Arial" w:hAnsi="Arial" w:cs="Arial"/>
        </w:rPr>
        <w:t>Transcript</w:t>
      </w:r>
      <w:r>
        <w:rPr>
          <w:rFonts w:ascii="Arial" w:hAnsi="Arial" w:cs="Arial"/>
        </w:rPr>
        <w:t>,</w:t>
      </w:r>
      <w:r w:rsidRPr="007468D2">
        <w:rPr>
          <w:rFonts w:ascii="Arial" w:hAnsi="Arial" w:cs="Arial"/>
        </w:rPr>
        <w:t xml:space="preserve"> page 1231.</w:t>
      </w:r>
      <w:proofErr w:type="gramEnd"/>
    </w:p>
  </w:footnote>
  <w:footnote w:id="185">
    <w:p w:rsidR="00F02DA6" w:rsidRPr="00151B06" w:rsidRDefault="00F02DA6" w:rsidP="00272231">
      <w:pPr>
        <w:pStyle w:val="FootnoteText"/>
        <w:rPr>
          <w:rFonts w:ascii="Arial" w:hAnsi="Arial" w:cs="Arial"/>
          <w:lang w:val="en-ZA"/>
        </w:rPr>
      </w:pPr>
      <w:r w:rsidRPr="007468D2">
        <w:rPr>
          <w:rStyle w:val="FootnoteReference"/>
          <w:rFonts w:ascii="Arial" w:hAnsi="Arial" w:cs="Arial"/>
        </w:rPr>
        <w:footnoteRef/>
      </w:r>
      <w:r w:rsidRPr="007468D2">
        <w:rPr>
          <w:rFonts w:ascii="Arial" w:hAnsi="Arial" w:cs="Arial"/>
        </w:rPr>
        <w:t xml:space="preserve"> Transcript</w:t>
      </w:r>
      <w:r>
        <w:rPr>
          <w:rFonts w:ascii="Arial" w:hAnsi="Arial" w:cs="Arial"/>
        </w:rPr>
        <w:t>,</w:t>
      </w:r>
      <w:r w:rsidRPr="007468D2">
        <w:rPr>
          <w:rFonts w:ascii="Arial" w:hAnsi="Arial" w:cs="Arial"/>
        </w:rPr>
        <w:t xml:space="preserve"> pages 732 to 734.</w:t>
      </w:r>
    </w:p>
  </w:footnote>
  <w:footnote w:id="186">
    <w:p w:rsidR="00F02DA6" w:rsidRPr="00A953C4" w:rsidRDefault="00F02DA6" w:rsidP="00B43439">
      <w:pPr>
        <w:pStyle w:val="FootnoteText"/>
        <w:rPr>
          <w:rFonts w:ascii="Arial" w:hAnsi="Arial" w:cs="Arial"/>
          <w:lang w:val="en-ZA"/>
        </w:rPr>
      </w:pPr>
      <w:r w:rsidRPr="00151B06">
        <w:rPr>
          <w:rStyle w:val="FootnoteReference"/>
          <w:rFonts w:ascii="Arial" w:hAnsi="Arial" w:cs="Arial"/>
        </w:rPr>
        <w:footnoteRef/>
      </w:r>
      <w:r w:rsidRPr="00151B06">
        <w:rPr>
          <w:rFonts w:ascii="Arial" w:hAnsi="Arial" w:cs="Arial"/>
        </w:rPr>
        <w:t xml:space="preserve"> </w:t>
      </w:r>
      <w:r w:rsidRPr="00A953C4">
        <w:rPr>
          <w:rFonts w:ascii="Arial" w:hAnsi="Arial" w:cs="Arial"/>
        </w:rPr>
        <w:t>Transcript, pages 634 and 635.</w:t>
      </w:r>
    </w:p>
  </w:footnote>
  <w:footnote w:id="187">
    <w:p w:rsidR="00F02DA6" w:rsidRPr="00A953C4" w:rsidRDefault="00F02DA6">
      <w:pPr>
        <w:pStyle w:val="FootnoteText"/>
        <w:rPr>
          <w:rFonts w:ascii="Arial" w:hAnsi="Arial" w:cs="Arial"/>
          <w:lang w:val="en-ZA"/>
        </w:rPr>
      </w:pPr>
      <w:r w:rsidRPr="00A953C4">
        <w:rPr>
          <w:rStyle w:val="FootnoteReference"/>
          <w:rFonts w:ascii="Arial" w:hAnsi="Arial" w:cs="Arial"/>
        </w:rPr>
        <w:footnoteRef/>
      </w:r>
      <w:r w:rsidRPr="00A953C4">
        <w:rPr>
          <w:rFonts w:ascii="Arial" w:hAnsi="Arial" w:cs="Arial"/>
        </w:rPr>
        <w:t xml:space="preserve"> Moosa’s witness statement, paragraph 27, record page 2393; transcript </w:t>
      </w:r>
      <w:r w:rsidRPr="00A953C4">
        <w:rPr>
          <w:rFonts w:ascii="Arial" w:hAnsi="Arial" w:cs="Arial"/>
          <w:i/>
        </w:rPr>
        <w:t xml:space="preserve">inter alia </w:t>
      </w:r>
      <w:r w:rsidRPr="00A953C4">
        <w:rPr>
          <w:rFonts w:ascii="Arial" w:hAnsi="Arial" w:cs="Arial"/>
        </w:rPr>
        <w:t>page 314.</w:t>
      </w:r>
    </w:p>
  </w:footnote>
  <w:footnote w:id="188">
    <w:p w:rsidR="00F02DA6" w:rsidRPr="001372B4" w:rsidRDefault="00F02DA6">
      <w:pPr>
        <w:pStyle w:val="FootnoteText"/>
        <w:rPr>
          <w:rFonts w:ascii="Arial" w:hAnsi="Arial" w:cs="Arial"/>
          <w:lang w:val="en-ZA"/>
        </w:rPr>
      </w:pPr>
      <w:r w:rsidRPr="001372B4">
        <w:rPr>
          <w:rStyle w:val="FootnoteReference"/>
          <w:rFonts w:ascii="Arial" w:hAnsi="Arial" w:cs="Arial"/>
        </w:rPr>
        <w:footnoteRef/>
      </w:r>
      <w:r w:rsidRPr="001372B4">
        <w:rPr>
          <w:rFonts w:ascii="Arial" w:hAnsi="Arial" w:cs="Arial"/>
        </w:rPr>
        <w:t xml:space="preserve"> </w:t>
      </w:r>
      <w:r w:rsidRPr="00A953C4">
        <w:rPr>
          <w:rFonts w:ascii="Arial" w:hAnsi="Arial" w:cs="Arial"/>
          <w:lang w:val="en-ZA"/>
        </w:rPr>
        <w:t xml:space="preserve">Transcript, </w:t>
      </w:r>
      <w:r w:rsidRPr="00A953C4">
        <w:rPr>
          <w:rFonts w:ascii="Arial" w:hAnsi="Arial" w:cs="Arial"/>
          <w:i/>
          <w:lang w:val="en-ZA"/>
        </w:rPr>
        <w:t>inter alia</w:t>
      </w:r>
      <w:r w:rsidRPr="00A953C4">
        <w:rPr>
          <w:rFonts w:ascii="Arial" w:hAnsi="Arial" w:cs="Arial"/>
          <w:lang w:val="en-ZA"/>
        </w:rPr>
        <w:t xml:space="preserve"> pages </w:t>
      </w:r>
      <w:r>
        <w:rPr>
          <w:rFonts w:ascii="Arial" w:hAnsi="Arial" w:cs="Arial"/>
          <w:lang w:val="en-ZA"/>
        </w:rPr>
        <w:t xml:space="preserve">315, </w:t>
      </w:r>
      <w:r w:rsidRPr="00A953C4">
        <w:rPr>
          <w:rFonts w:ascii="Arial" w:hAnsi="Arial" w:cs="Arial"/>
          <w:lang w:val="en-ZA"/>
        </w:rPr>
        <w:t xml:space="preserve">318 </w:t>
      </w:r>
      <w:r w:rsidRPr="005A65A2">
        <w:rPr>
          <w:rFonts w:ascii="Arial" w:hAnsi="Arial" w:cs="Arial"/>
          <w:lang w:val="en-ZA"/>
        </w:rPr>
        <w:t>and 319</w:t>
      </w:r>
      <w:r w:rsidRPr="005A65A2">
        <w:rPr>
          <w:rFonts w:ascii="Arial" w:hAnsi="Arial" w:cs="Arial"/>
        </w:rPr>
        <w:t>.</w:t>
      </w:r>
    </w:p>
  </w:footnote>
  <w:footnote w:id="189">
    <w:p w:rsidR="00F02DA6" w:rsidRPr="001372B4" w:rsidRDefault="00F02DA6">
      <w:pPr>
        <w:pStyle w:val="FootnoteText"/>
        <w:rPr>
          <w:rFonts w:ascii="Arial" w:hAnsi="Arial" w:cs="Arial"/>
          <w:lang w:val="en-ZA"/>
        </w:rPr>
      </w:pPr>
      <w:r w:rsidRPr="001372B4">
        <w:rPr>
          <w:rStyle w:val="FootnoteReference"/>
          <w:rFonts w:ascii="Arial" w:hAnsi="Arial" w:cs="Arial"/>
        </w:rPr>
        <w:footnoteRef/>
      </w:r>
      <w:r w:rsidRPr="001372B4">
        <w:rPr>
          <w:rFonts w:ascii="Arial" w:hAnsi="Arial" w:cs="Arial"/>
        </w:rPr>
        <w:t xml:space="preserve"> </w:t>
      </w:r>
      <w:proofErr w:type="gramStart"/>
      <w:r w:rsidRPr="00A953C4">
        <w:rPr>
          <w:rFonts w:ascii="Arial" w:hAnsi="Arial" w:cs="Arial"/>
        </w:rPr>
        <w:t>Transcript,</w:t>
      </w:r>
      <w:r w:rsidRPr="00A953C4">
        <w:rPr>
          <w:rFonts w:ascii="Arial" w:hAnsi="Arial" w:cs="Arial"/>
          <w:lang w:val="en-ZA"/>
        </w:rPr>
        <w:t xml:space="preserve"> page 1208.</w:t>
      </w:r>
      <w:proofErr w:type="gramEnd"/>
    </w:p>
  </w:footnote>
  <w:footnote w:id="190">
    <w:p w:rsidR="00F02DA6" w:rsidRPr="00AD7368" w:rsidRDefault="00F02DA6" w:rsidP="0042567D">
      <w:pPr>
        <w:pStyle w:val="FootnoteText"/>
        <w:rPr>
          <w:rFonts w:ascii="Arial" w:hAnsi="Arial" w:cs="Arial"/>
          <w:lang w:val="en-ZA"/>
        </w:rPr>
      </w:pPr>
      <w:r w:rsidRPr="001372B4">
        <w:rPr>
          <w:rStyle w:val="FootnoteReference"/>
          <w:rFonts w:ascii="Arial" w:hAnsi="Arial" w:cs="Arial"/>
        </w:rPr>
        <w:footnoteRef/>
      </w:r>
      <w:r w:rsidRPr="001372B4">
        <w:rPr>
          <w:rFonts w:ascii="Arial" w:hAnsi="Arial" w:cs="Arial"/>
        </w:rPr>
        <w:t xml:space="preserve"> </w:t>
      </w:r>
      <w:r w:rsidRPr="00B44DBE">
        <w:rPr>
          <w:rFonts w:ascii="Arial" w:hAnsi="Arial" w:cs="Arial"/>
        </w:rPr>
        <w:t>Transcript,</w:t>
      </w:r>
      <w:r w:rsidRPr="00B44DBE">
        <w:rPr>
          <w:rFonts w:ascii="Arial" w:hAnsi="Arial" w:cs="Arial"/>
          <w:lang w:val="en-ZA"/>
        </w:rPr>
        <w:t xml:space="preserve"> </w:t>
      </w:r>
      <w:r w:rsidRPr="00B44DBE">
        <w:rPr>
          <w:rFonts w:ascii="Arial" w:hAnsi="Arial" w:cs="Arial"/>
          <w:i/>
          <w:lang w:val="en-ZA"/>
        </w:rPr>
        <w:t>inter alia</w:t>
      </w:r>
      <w:r w:rsidRPr="00B44DBE">
        <w:rPr>
          <w:rFonts w:ascii="Arial" w:hAnsi="Arial" w:cs="Arial"/>
          <w:lang w:val="en-ZA"/>
        </w:rPr>
        <w:t xml:space="preserve"> page 708.</w:t>
      </w:r>
    </w:p>
  </w:footnote>
  <w:footnote w:id="191">
    <w:p w:rsidR="00F02DA6" w:rsidRPr="00A953C4" w:rsidRDefault="00F02DA6" w:rsidP="00B43439">
      <w:pPr>
        <w:pStyle w:val="FootnoteText"/>
        <w:rPr>
          <w:rFonts w:ascii="Arial" w:hAnsi="Arial" w:cs="Arial"/>
          <w:lang w:val="en-ZA"/>
        </w:rPr>
      </w:pPr>
      <w:r w:rsidRPr="001C04D5">
        <w:rPr>
          <w:rStyle w:val="FootnoteReference"/>
          <w:rFonts w:ascii="Arial" w:hAnsi="Arial" w:cs="Arial"/>
        </w:rPr>
        <w:footnoteRef/>
      </w:r>
      <w:r w:rsidRPr="001C04D5">
        <w:rPr>
          <w:rFonts w:ascii="Arial" w:hAnsi="Arial" w:cs="Arial"/>
        </w:rPr>
        <w:t xml:space="preserve"> </w:t>
      </w:r>
      <w:proofErr w:type="gramStart"/>
      <w:r w:rsidRPr="00A953C4">
        <w:rPr>
          <w:rFonts w:ascii="Arial" w:hAnsi="Arial" w:cs="Arial"/>
        </w:rPr>
        <w:t>Transcript, page 809.</w:t>
      </w:r>
      <w:proofErr w:type="gramEnd"/>
    </w:p>
  </w:footnote>
  <w:footnote w:id="192">
    <w:p w:rsidR="00F02DA6" w:rsidRPr="001C04D5" w:rsidRDefault="00F02DA6" w:rsidP="00B43439">
      <w:pPr>
        <w:pStyle w:val="FootnoteText"/>
        <w:rPr>
          <w:rFonts w:ascii="Arial" w:hAnsi="Arial" w:cs="Arial"/>
        </w:rPr>
      </w:pPr>
      <w:r w:rsidRPr="00A953C4">
        <w:rPr>
          <w:rStyle w:val="FootnoteReference"/>
          <w:rFonts w:ascii="Arial" w:hAnsi="Arial" w:cs="Arial"/>
        </w:rPr>
        <w:footnoteRef/>
      </w:r>
      <w:r w:rsidRPr="00A953C4">
        <w:rPr>
          <w:rFonts w:ascii="Arial" w:hAnsi="Arial" w:cs="Arial"/>
        </w:rPr>
        <w:t xml:space="preserve"> See </w:t>
      </w:r>
      <w:r w:rsidRPr="00A953C4">
        <w:rPr>
          <w:rFonts w:ascii="Arial" w:hAnsi="Arial" w:cs="Arial"/>
          <w:i/>
        </w:rPr>
        <w:t>inter alia</w:t>
      </w:r>
      <w:r w:rsidRPr="00A953C4">
        <w:rPr>
          <w:rFonts w:ascii="Arial" w:hAnsi="Arial" w:cs="Arial"/>
        </w:rPr>
        <w:t xml:space="preserve"> Exhibit 14, Annexure A.</w:t>
      </w:r>
    </w:p>
  </w:footnote>
  <w:footnote w:id="193">
    <w:p w:rsidR="00F02DA6" w:rsidRPr="00204F9A" w:rsidRDefault="00F02DA6" w:rsidP="00D77BDC">
      <w:pPr>
        <w:pStyle w:val="FootnoteText"/>
        <w:rPr>
          <w:rFonts w:ascii="Arial" w:hAnsi="Arial" w:cs="Arial"/>
          <w:lang w:val="en-ZA"/>
        </w:rPr>
      </w:pPr>
      <w:r w:rsidRPr="00204F9A">
        <w:rPr>
          <w:rStyle w:val="FootnoteReference"/>
          <w:rFonts w:ascii="Arial" w:hAnsi="Arial" w:cs="Arial"/>
        </w:rPr>
        <w:footnoteRef/>
      </w:r>
      <w:r w:rsidRPr="00204F9A">
        <w:rPr>
          <w:rFonts w:ascii="Arial" w:hAnsi="Arial" w:cs="Arial"/>
        </w:rPr>
        <w:t xml:space="preserve"> Leveugle’s witness statement, paragraph 12.9, record page 2528.</w:t>
      </w:r>
    </w:p>
  </w:footnote>
  <w:footnote w:id="194">
    <w:p w:rsidR="00F02DA6" w:rsidRPr="00204F9A" w:rsidRDefault="00F02DA6" w:rsidP="00B43439">
      <w:pPr>
        <w:pStyle w:val="FootnoteText"/>
        <w:rPr>
          <w:rFonts w:ascii="Arial" w:hAnsi="Arial" w:cs="Arial"/>
          <w:lang w:val="en-ZA"/>
        </w:rPr>
      </w:pPr>
      <w:r w:rsidRPr="00204F9A">
        <w:rPr>
          <w:rStyle w:val="FootnoteReference"/>
          <w:rFonts w:ascii="Arial" w:hAnsi="Arial" w:cs="Arial"/>
        </w:rPr>
        <w:footnoteRef/>
      </w:r>
      <w:r w:rsidRPr="00204F9A">
        <w:rPr>
          <w:rFonts w:ascii="Arial" w:hAnsi="Arial" w:cs="Arial"/>
        </w:rPr>
        <w:t xml:space="preserve"> </w:t>
      </w:r>
      <w:proofErr w:type="gramStart"/>
      <w:r w:rsidRPr="00204F9A">
        <w:rPr>
          <w:rFonts w:ascii="Arial" w:hAnsi="Arial" w:cs="Arial"/>
        </w:rPr>
        <w:t>Transcript, page 871.</w:t>
      </w:r>
      <w:proofErr w:type="gramEnd"/>
    </w:p>
  </w:footnote>
  <w:footnote w:id="195">
    <w:p w:rsidR="00F02DA6" w:rsidRPr="00204F9A" w:rsidRDefault="00F02DA6" w:rsidP="00F32653">
      <w:pPr>
        <w:pStyle w:val="FootnoteText"/>
        <w:rPr>
          <w:rFonts w:ascii="Arial" w:hAnsi="Arial" w:cs="Arial"/>
          <w:lang w:val="en-ZA"/>
        </w:rPr>
      </w:pPr>
      <w:r w:rsidRPr="00204F9A">
        <w:rPr>
          <w:rStyle w:val="FootnoteReference"/>
          <w:rFonts w:ascii="Arial" w:hAnsi="Arial" w:cs="Arial"/>
        </w:rPr>
        <w:footnoteRef/>
      </w:r>
      <w:r w:rsidRPr="00204F9A">
        <w:rPr>
          <w:rFonts w:ascii="Arial" w:hAnsi="Arial" w:cs="Arial"/>
        </w:rPr>
        <w:t xml:space="preserve"> </w:t>
      </w:r>
      <w:r w:rsidRPr="00204F9A">
        <w:rPr>
          <w:rFonts w:ascii="Arial" w:hAnsi="Arial" w:cs="Arial"/>
          <w:i/>
          <w:lang w:val="en-ZA"/>
        </w:rPr>
        <w:t>Inter alia</w:t>
      </w:r>
      <w:r w:rsidRPr="00204F9A">
        <w:rPr>
          <w:rFonts w:ascii="Arial" w:hAnsi="Arial" w:cs="Arial"/>
          <w:lang w:val="en-ZA"/>
        </w:rPr>
        <w:t xml:space="preserve"> Khan, transcript pages 1021 and 1022. </w:t>
      </w:r>
      <w:proofErr w:type="gramStart"/>
      <w:r>
        <w:rPr>
          <w:rFonts w:ascii="Arial" w:hAnsi="Arial" w:cs="Arial"/>
          <w:lang w:val="en-ZA"/>
        </w:rPr>
        <w:t>Souchon, transcript, pages 1098 to 1100.</w:t>
      </w:r>
      <w:proofErr w:type="gramEnd"/>
    </w:p>
  </w:footnote>
  <w:footnote w:id="196">
    <w:p w:rsidR="00F02DA6" w:rsidRPr="00204F9A" w:rsidRDefault="00F02DA6" w:rsidP="00F32653">
      <w:pPr>
        <w:pStyle w:val="FootnoteText"/>
        <w:rPr>
          <w:rFonts w:ascii="Arial" w:hAnsi="Arial" w:cs="Arial"/>
          <w:lang w:val="en-ZA"/>
        </w:rPr>
      </w:pPr>
      <w:r w:rsidRPr="00204F9A">
        <w:rPr>
          <w:rStyle w:val="FootnoteReference"/>
          <w:rFonts w:ascii="Arial" w:hAnsi="Arial" w:cs="Arial"/>
        </w:rPr>
        <w:footnoteRef/>
      </w:r>
      <w:r w:rsidRPr="00204F9A">
        <w:rPr>
          <w:rFonts w:ascii="Arial" w:hAnsi="Arial" w:cs="Arial"/>
        </w:rPr>
        <w:t xml:space="preserve"> </w:t>
      </w:r>
      <w:r w:rsidRPr="00204F9A">
        <w:rPr>
          <w:rFonts w:ascii="Arial" w:hAnsi="Arial" w:cs="Arial"/>
          <w:lang w:val="en-ZA"/>
        </w:rPr>
        <w:t>Transcript, pages 420 and 451.</w:t>
      </w:r>
    </w:p>
  </w:footnote>
  <w:footnote w:id="197">
    <w:p w:rsidR="00F02DA6" w:rsidRPr="00204F9A" w:rsidRDefault="00F02DA6" w:rsidP="00F32653">
      <w:pPr>
        <w:pStyle w:val="FootnoteText"/>
        <w:rPr>
          <w:rFonts w:ascii="Arial" w:hAnsi="Arial" w:cs="Arial"/>
          <w:lang w:val="en-ZA"/>
        </w:rPr>
      </w:pPr>
      <w:r w:rsidRPr="00204F9A">
        <w:rPr>
          <w:rStyle w:val="FootnoteReference"/>
          <w:rFonts w:ascii="Arial" w:hAnsi="Arial" w:cs="Arial"/>
        </w:rPr>
        <w:footnoteRef/>
      </w:r>
      <w:r w:rsidRPr="00204F9A">
        <w:rPr>
          <w:rFonts w:ascii="Arial" w:hAnsi="Arial" w:cs="Arial"/>
        </w:rPr>
        <w:t xml:space="preserve"> </w:t>
      </w:r>
      <w:proofErr w:type="gramStart"/>
      <w:r w:rsidRPr="005C5A41">
        <w:rPr>
          <w:rFonts w:ascii="Arial" w:hAnsi="Arial" w:cs="Arial"/>
          <w:lang w:val="en-ZA"/>
        </w:rPr>
        <w:t>Transcript, page 432.</w:t>
      </w:r>
      <w:proofErr w:type="gramEnd"/>
    </w:p>
  </w:footnote>
  <w:footnote w:id="198">
    <w:p w:rsidR="00F02DA6" w:rsidRPr="00AE0AF3" w:rsidRDefault="00F02DA6" w:rsidP="00F32653">
      <w:pPr>
        <w:pStyle w:val="FootnoteText"/>
        <w:rPr>
          <w:rFonts w:ascii="Arial" w:hAnsi="Arial" w:cs="Arial"/>
          <w:lang w:val="en-ZA"/>
        </w:rPr>
      </w:pPr>
      <w:r w:rsidRPr="00204F9A">
        <w:rPr>
          <w:rStyle w:val="FootnoteReference"/>
          <w:rFonts w:ascii="Arial" w:hAnsi="Arial" w:cs="Arial"/>
        </w:rPr>
        <w:footnoteRef/>
      </w:r>
      <w:r w:rsidRPr="00204F9A">
        <w:rPr>
          <w:rFonts w:ascii="Arial" w:hAnsi="Arial" w:cs="Arial"/>
        </w:rPr>
        <w:t xml:space="preserve"> </w:t>
      </w:r>
      <w:proofErr w:type="gramStart"/>
      <w:r w:rsidRPr="00204F9A">
        <w:rPr>
          <w:rFonts w:ascii="Arial" w:hAnsi="Arial" w:cs="Arial"/>
          <w:lang w:val="en-ZA"/>
        </w:rPr>
        <w:t>Transcript</w:t>
      </w:r>
      <w:r>
        <w:rPr>
          <w:rFonts w:ascii="Arial" w:hAnsi="Arial" w:cs="Arial"/>
          <w:lang w:val="en-ZA"/>
        </w:rPr>
        <w:t>,</w:t>
      </w:r>
      <w:r w:rsidRPr="00204F9A">
        <w:rPr>
          <w:rFonts w:ascii="Arial" w:hAnsi="Arial" w:cs="Arial"/>
          <w:lang w:val="en-ZA"/>
        </w:rPr>
        <w:t xml:space="preserve"> page 451.</w:t>
      </w:r>
      <w:proofErr w:type="gramEnd"/>
    </w:p>
  </w:footnote>
  <w:footnote w:id="199">
    <w:p w:rsidR="00F02DA6" w:rsidRPr="00A953C4" w:rsidRDefault="00F02DA6" w:rsidP="00F32653">
      <w:pPr>
        <w:pStyle w:val="FootnoteText"/>
        <w:rPr>
          <w:rFonts w:ascii="Arial" w:hAnsi="Arial" w:cs="Arial"/>
          <w:lang w:val="en-ZA"/>
        </w:rPr>
      </w:pPr>
      <w:r w:rsidRPr="00AE0AF3">
        <w:rPr>
          <w:rStyle w:val="FootnoteReference"/>
          <w:rFonts w:ascii="Arial" w:hAnsi="Arial" w:cs="Arial"/>
        </w:rPr>
        <w:footnoteRef/>
      </w:r>
      <w:r w:rsidRPr="00AE0AF3">
        <w:rPr>
          <w:rFonts w:ascii="Arial" w:hAnsi="Arial" w:cs="Arial"/>
        </w:rPr>
        <w:t xml:space="preserve"> </w:t>
      </w:r>
      <w:r w:rsidRPr="00A953C4">
        <w:rPr>
          <w:rFonts w:ascii="Arial" w:hAnsi="Arial" w:cs="Arial"/>
          <w:i/>
          <w:lang w:val="en-ZA"/>
        </w:rPr>
        <w:t>Inter alia</w:t>
      </w:r>
      <w:r w:rsidRPr="00A953C4">
        <w:rPr>
          <w:rFonts w:ascii="Arial" w:hAnsi="Arial" w:cs="Arial"/>
          <w:lang w:val="en-ZA"/>
        </w:rPr>
        <w:t xml:space="preserve"> Du Plessis, transcript page 750; Khan, transcript page 1025</w:t>
      </w:r>
      <w:r w:rsidRPr="00AE0AF3">
        <w:rPr>
          <w:rFonts w:ascii="Arial" w:hAnsi="Arial" w:cs="Arial"/>
          <w:lang w:val="en-ZA"/>
        </w:rPr>
        <w:t xml:space="preserve">; </w:t>
      </w:r>
      <w:r w:rsidRPr="00A953C4">
        <w:rPr>
          <w:rFonts w:ascii="Arial" w:hAnsi="Arial" w:cs="Arial"/>
          <w:lang w:val="en-ZA"/>
        </w:rPr>
        <w:t>Loukidis, transcript page 412. Also see Hodge, transcript</w:t>
      </w:r>
      <w:r w:rsidRPr="00A953C4">
        <w:rPr>
          <w:rFonts w:ascii="Arial" w:hAnsi="Arial" w:cs="Arial"/>
          <w:lang w:val="en-US"/>
        </w:rPr>
        <w:t xml:space="preserve"> page 1410.</w:t>
      </w:r>
    </w:p>
  </w:footnote>
  <w:footnote w:id="200">
    <w:p w:rsidR="00F02DA6" w:rsidRPr="00F84BE8" w:rsidRDefault="00F02DA6">
      <w:pPr>
        <w:pStyle w:val="FootnoteText"/>
        <w:rPr>
          <w:rFonts w:ascii="Arial" w:hAnsi="Arial" w:cs="Arial"/>
          <w:lang w:val="en-ZA"/>
        </w:rPr>
      </w:pPr>
      <w:r w:rsidRPr="00F84BE8">
        <w:rPr>
          <w:rStyle w:val="FootnoteReference"/>
          <w:rFonts w:ascii="Arial" w:hAnsi="Arial" w:cs="Arial"/>
        </w:rPr>
        <w:footnoteRef/>
      </w:r>
      <w:r w:rsidRPr="00F84BE8">
        <w:rPr>
          <w:rFonts w:ascii="Arial" w:hAnsi="Arial" w:cs="Arial"/>
        </w:rPr>
        <w:t xml:space="preserve"> CEPPWAWU is affiliated to Cosatu and represents members in both Ferro and Arkema</w:t>
      </w:r>
      <w:r>
        <w:rPr>
          <w:rFonts w:ascii="Arial" w:hAnsi="Arial" w:cs="Arial"/>
        </w:rPr>
        <w:t xml:space="preserve"> SA</w:t>
      </w:r>
      <w:r w:rsidRPr="00F84BE8">
        <w:rPr>
          <w:rFonts w:ascii="Arial" w:hAnsi="Arial" w:cs="Arial"/>
        </w:rPr>
        <w:t>.</w:t>
      </w:r>
    </w:p>
  </w:footnote>
  <w:footnote w:id="201">
    <w:p w:rsidR="00F02DA6" w:rsidRPr="00F84BE8" w:rsidRDefault="00F02DA6">
      <w:pPr>
        <w:pStyle w:val="FootnoteText"/>
        <w:rPr>
          <w:rFonts w:ascii="Arial" w:hAnsi="Arial" w:cs="Arial"/>
          <w:lang w:val="en-ZA"/>
        </w:rPr>
      </w:pPr>
      <w:r w:rsidRPr="00F84BE8">
        <w:rPr>
          <w:rStyle w:val="FootnoteReference"/>
          <w:rFonts w:ascii="Arial" w:hAnsi="Arial" w:cs="Arial"/>
        </w:rPr>
        <w:footnoteRef/>
      </w:r>
      <w:r w:rsidRPr="00F84BE8">
        <w:rPr>
          <w:rFonts w:ascii="Arial" w:hAnsi="Arial" w:cs="Arial"/>
        </w:rPr>
        <w:t xml:space="preserve"> </w:t>
      </w:r>
      <w:r w:rsidRPr="00F84BE8">
        <w:rPr>
          <w:rFonts w:ascii="Arial" w:hAnsi="Arial" w:cs="Arial"/>
          <w:lang w:val="en-ZA"/>
        </w:rPr>
        <w:t>Transcript, pages 877 and 878.</w:t>
      </w:r>
    </w:p>
  </w:footnote>
  <w:footnote w:id="202">
    <w:p w:rsidR="00F02DA6" w:rsidRPr="00F84BE8" w:rsidRDefault="00F02DA6">
      <w:pPr>
        <w:pStyle w:val="FootnoteText"/>
        <w:rPr>
          <w:rFonts w:ascii="Arial" w:hAnsi="Arial" w:cs="Arial"/>
          <w:lang w:val="en-ZA"/>
        </w:rPr>
      </w:pPr>
      <w:r w:rsidRPr="00F84BE8">
        <w:rPr>
          <w:rStyle w:val="FootnoteReference"/>
          <w:rFonts w:ascii="Arial" w:hAnsi="Arial" w:cs="Arial"/>
        </w:rPr>
        <w:footnoteRef/>
      </w:r>
      <w:r w:rsidRPr="00F84BE8">
        <w:rPr>
          <w:rFonts w:ascii="Arial" w:hAnsi="Arial" w:cs="Arial"/>
        </w:rPr>
        <w:t xml:space="preserve"> Relating specifically to staff employed in distribution.</w:t>
      </w:r>
    </w:p>
  </w:footnote>
  <w:footnote w:id="203">
    <w:p w:rsidR="00F02DA6" w:rsidRPr="00A953C4" w:rsidRDefault="00F02DA6">
      <w:pPr>
        <w:pStyle w:val="FootnoteText"/>
        <w:rPr>
          <w:rFonts w:ascii="Arial" w:hAnsi="Arial" w:cs="Arial"/>
          <w:lang w:val="en-ZA"/>
        </w:rPr>
      </w:pPr>
      <w:r w:rsidRPr="00316304">
        <w:rPr>
          <w:rStyle w:val="FootnoteReference"/>
          <w:rFonts w:ascii="Arial" w:hAnsi="Arial" w:cs="Arial"/>
        </w:rPr>
        <w:footnoteRef/>
      </w:r>
      <w:r w:rsidRPr="00316304">
        <w:rPr>
          <w:rFonts w:ascii="Arial" w:hAnsi="Arial" w:cs="Arial"/>
        </w:rPr>
        <w:t xml:space="preserve"> </w:t>
      </w:r>
      <w:proofErr w:type="gramStart"/>
      <w:r w:rsidRPr="00A953C4">
        <w:rPr>
          <w:rFonts w:ascii="Arial" w:hAnsi="Arial" w:cs="Arial"/>
          <w:lang w:val="en-ZA"/>
        </w:rPr>
        <w:t>Transcript page 1000.</w:t>
      </w:r>
      <w:proofErr w:type="gramEnd"/>
    </w:p>
  </w:footnote>
  <w:footnote w:id="204">
    <w:p w:rsidR="00F02DA6" w:rsidRPr="00A953C4" w:rsidRDefault="00F02DA6" w:rsidP="00AF0BE9">
      <w:pPr>
        <w:pStyle w:val="FootnoteText"/>
        <w:rPr>
          <w:rFonts w:ascii="Arial" w:hAnsi="Arial" w:cs="Arial"/>
          <w:lang w:val="en-US"/>
        </w:rPr>
      </w:pPr>
      <w:r w:rsidRPr="00A953C4">
        <w:rPr>
          <w:rStyle w:val="FootnoteReference"/>
          <w:rFonts w:ascii="Arial" w:hAnsi="Arial" w:cs="Arial"/>
        </w:rPr>
        <w:footnoteRef/>
      </w:r>
      <w:r w:rsidRPr="00A953C4">
        <w:rPr>
          <w:rFonts w:ascii="Arial" w:hAnsi="Arial" w:cs="Arial"/>
        </w:rPr>
        <w:t xml:space="preserve"> </w:t>
      </w:r>
      <w:r w:rsidRPr="00A953C4">
        <w:rPr>
          <w:rFonts w:ascii="Arial" w:hAnsi="Arial" w:cs="Arial"/>
          <w:lang w:val="en-US"/>
        </w:rPr>
        <w:t>Transcript, pages 1000 and 1001.</w:t>
      </w:r>
    </w:p>
  </w:footnote>
  <w:footnote w:id="205">
    <w:p w:rsidR="00F02DA6" w:rsidRPr="00316304" w:rsidRDefault="00F02DA6">
      <w:pPr>
        <w:pStyle w:val="FootnoteText"/>
        <w:rPr>
          <w:lang w:val="en-ZA"/>
        </w:rPr>
      </w:pPr>
      <w:r w:rsidRPr="00A953C4">
        <w:rPr>
          <w:rStyle w:val="FootnoteReference"/>
          <w:rFonts w:ascii="Arial" w:hAnsi="Arial" w:cs="Arial"/>
        </w:rPr>
        <w:footnoteRef/>
      </w:r>
      <w:r w:rsidRPr="00A953C4">
        <w:rPr>
          <w:rFonts w:ascii="Arial" w:hAnsi="Arial" w:cs="Arial"/>
        </w:rPr>
        <w:t xml:space="preserve"> This moratorium expressly excludes voluntary separation arrangements, voluntary early retirement packages, unreasonable refusal to be redeployed in accordance with the provisions of the Labour Relations Act, or dismissals of employees for disciplinary infractions.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DA6" w:rsidRPr="00EF6310" w:rsidRDefault="00C700F3" w:rsidP="00EF6310">
    <w:pPr>
      <w:pStyle w:val="Header"/>
      <w:jc w:val="center"/>
      <w:rPr>
        <w:rFonts w:ascii="Arial" w:hAnsi="Arial" w:cs="Arial"/>
        <w:b/>
      </w:rPr>
    </w:pPr>
    <w:r>
      <w:rPr>
        <w:rFonts w:ascii="Arial" w:hAnsi="Arial" w:cs="Arial"/>
        <w:b/>
      </w:rPr>
      <w:t>Non-c</w:t>
    </w:r>
    <w:r w:rsidR="00F02DA6" w:rsidRPr="00EF6310">
      <w:rPr>
        <w:rFonts w:ascii="Arial" w:hAnsi="Arial" w:cs="Arial"/>
        <w:b/>
      </w:rPr>
      <w:t>onfidential</w:t>
    </w:r>
    <w:r>
      <w:rPr>
        <w:rFonts w:ascii="Arial" w:hAnsi="Arial" w:cs="Arial"/>
        <w:b/>
      </w:rPr>
      <w:t xml:space="preserve"> version</w:t>
    </w:r>
  </w:p>
  <w:p w:rsidR="00F02DA6" w:rsidRDefault="00F02D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BB74D"/>
    <w:multiLevelType w:val="singleLevel"/>
    <w:tmpl w:val="4783D715"/>
    <w:lvl w:ilvl="0">
      <w:start w:val="17"/>
      <w:numFmt w:val="decimal"/>
      <w:lvlText w:val="%1."/>
      <w:lvlJc w:val="left"/>
      <w:pPr>
        <w:tabs>
          <w:tab w:val="num" w:pos="576"/>
        </w:tabs>
        <w:ind w:left="648" w:hanging="576"/>
      </w:pPr>
      <w:rPr>
        <w:rFonts w:ascii="Arial" w:hAnsi="Arial" w:cs="Arial"/>
        <w:snapToGrid/>
        <w:spacing w:val="2"/>
        <w:sz w:val="22"/>
        <w:szCs w:val="22"/>
      </w:rPr>
    </w:lvl>
  </w:abstractNum>
  <w:abstractNum w:abstractNumId="1">
    <w:nsid w:val="0396FF40"/>
    <w:multiLevelType w:val="singleLevel"/>
    <w:tmpl w:val="423992D3"/>
    <w:lvl w:ilvl="0">
      <w:start w:val="28"/>
      <w:numFmt w:val="decimal"/>
      <w:lvlText w:val="%1."/>
      <w:lvlJc w:val="left"/>
      <w:pPr>
        <w:tabs>
          <w:tab w:val="num" w:pos="576"/>
        </w:tabs>
        <w:ind w:left="648" w:hanging="576"/>
      </w:pPr>
      <w:rPr>
        <w:rFonts w:ascii="Arial" w:hAnsi="Arial" w:cs="Arial"/>
        <w:snapToGrid/>
        <w:sz w:val="22"/>
        <w:szCs w:val="22"/>
      </w:rPr>
    </w:lvl>
  </w:abstractNum>
  <w:abstractNum w:abstractNumId="2">
    <w:nsid w:val="04253FFB"/>
    <w:multiLevelType w:val="hybridMultilevel"/>
    <w:tmpl w:val="EF401F64"/>
    <w:lvl w:ilvl="0" w:tplc="DC2ACBE6">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4A121BB"/>
    <w:multiLevelType w:val="singleLevel"/>
    <w:tmpl w:val="2980886D"/>
    <w:lvl w:ilvl="0">
      <w:start w:val="21"/>
      <w:numFmt w:val="decimal"/>
      <w:lvlText w:val="%1."/>
      <w:lvlJc w:val="left"/>
      <w:pPr>
        <w:tabs>
          <w:tab w:val="num" w:pos="576"/>
        </w:tabs>
        <w:ind w:left="648" w:hanging="576"/>
      </w:pPr>
      <w:rPr>
        <w:rFonts w:ascii="Arial" w:hAnsi="Arial" w:cs="Arial"/>
        <w:snapToGrid/>
        <w:spacing w:val="-5"/>
        <w:sz w:val="22"/>
        <w:szCs w:val="22"/>
      </w:rPr>
    </w:lvl>
  </w:abstractNum>
  <w:abstractNum w:abstractNumId="4">
    <w:nsid w:val="04CB7E50"/>
    <w:multiLevelType w:val="singleLevel"/>
    <w:tmpl w:val="43DADBA1"/>
    <w:lvl w:ilvl="0">
      <w:start w:val="18"/>
      <w:numFmt w:val="decimal"/>
      <w:lvlText w:val="%1."/>
      <w:lvlJc w:val="left"/>
      <w:pPr>
        <w:tabs>
          <w:tab w:val="num" w:pos="576"/>
        </w:tabs>
        <w:ind w:left="648" w:hanging="576"/>
      </w:pPr>
      <w:rPr>
        <w:rFonts w:ascii="Arial" w:hAnsi="Arial" w:cs="Arial"/>
        <w:snapToGrid/>
        <w:spacing w:val="-2"/>
        <w:sz w:val="22"/>
        <w:szCs w:val="22"/>
      </w:rPr>
    </w:lvl>
  </w:abstractNum>
  <w:abstractNum w:abstractNumId="5">
    <w:nsid w:val="0582267D"/>
    <w:multiLevelType w:val="singleLevel"/>
    <w:tmpl w:val="3804D392"/>
    <w:lvl w:ilvl="0">
      <w:start w:val="26"/>
      <w:numFmt w:val="decimal"/>
      <w:lvlText w:val="%1."/>
      <w:lvlJc w:val="left"/>
      <w:pPr>
        <w:tabs>
          <w:tab w:val="num" w:pos="576"/>
        </w:tabs>
        <w:ind w:left="648" w:hanging="576"/>
      </w:pPr>
      <w:rPr>
        <w:rFonts w:ascii="Arial" w:hAnsi="Arial" w:cs="Arial"/>
        <w:snapToGrid/>
        <w:spacing w:val="1"/>
        <w:sz w:val="22"/>
        <w:szCs w:val="22"/>
      </w:rPr>
    </w:lvl>
  </w:abstractNum>
  <w:abstractNum w:abstractNumId="6">
    <w:nsid w:val="06A9A17D"/>
    <w:multiLevelType w:val="singleLevel"/>
    <w:tmpl w:val="188AF4C7"/>
    <w:lvl w:ilvl="0">
      <w:start w:val="32"/>
      <w:numFmt w:val="decimal"/>
      <w:lvlText w:val="%1."/>
      <w:lvlJc w:val="left"/>
      <w:pPr>
        <w:tabs>
          <w:tab w:val="num" w:pos="576"/>
        </w:tabs>
        <w:ind w:left="648" w:hanging="576"/>
      </w:pPr>
      <w:rPr>
        <w:rFonts w:ascii="Arial" w:hAnsi="Arial" w:cs="Arial"/>
        <w:snapToGrid/>
        <w:spacing w:val="-3"/>
        <w:sz w:val="22"/>
        <w:szCs w:val="22"/>
      </w:rPr>
    </w:lvl>
  </w:abstractNum>
  <w:abstractNum w:abstractNumId="7">
    <w:nsid w:val="33CF36DA"/>
    <w:multiLevelType w:val="multilevel"/>
    <w:tmpl w:val="F5E2A276"/>
    <w:lvl w:ilvl="0">
      <w:start w:val="17"/>
      <w:numFmt w:val="decimal"/>
      <w:lvlText w:val="%1"/>
      <w:lvlJc w:val="left"/>
      <w:pPr>
        <w:ind w:left="465" w:hanging="465"/>
      </w:pPr>
      <w:rPr>
        <w:rFonts w:hint="default"/>
      </w:rPr>
    </w:lvl>
    <w:lvl w:ilvl="1">
      <w:start w:val="9"/>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nsid w:val="34AB3AE0"/>
    <w:multiLevelType w:val="multilevel"/>
    <w:tmpl w:val="52BA0938"/>
    <w:lvl w:ilvl="0">
      <w:start w:val="1"/>
      <w:numFmt w:val="decimal"/>
      <w:lvlText w:val="%1."/>
      <w:lvlJc w:val="left"/>
      <w:pPr>
        <w:tabs>
          <w:tab w:val="num" w:pos="720"/>
        </w:tabs>
        <w:ind w:left="720" w:hanging="720"/>
      </w:pPr>
      <w:rPr>
        <w:rFonts w:cs="Times New Roman" w:hint="default"/>
        <w:b w:val="0"/>
      </w:rPr>
    </w:lvl>
    <w:lvl w:ilvl="1">
      <w:start w:val="1"/>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2160"/>
        </w:tabs>
        <w:ind w:left="2160" w:hanging="2160"/>
      </w:pPr>
      <w:rPr>
        <w:rFonts w:cs="Times New Roman" w:hint="default"/>
      </w:rPr>
    </w:lvl>
    <w:lvl w:ilvl="3">
      <w:start w:val="1"/>
      <w:numFmt w:val="decimal"/>
      <w:lvlText w:val="%1.%2.%3.%4"/>
      <w:lvlJc w:val="left"/>
      <w:pPr>
        <w:tabs>
          <w:tab w:val="num" w:pos="2880"/>
        </w:tabs>
        <w:ind w:left="2880" w:hanging="2880"/>
      </w:pPr>
      <w:rPr>
        <w:rFonts w:cs="Times New Roman" w:hint="default"/>
      </w:rPr>
    </w:lvl>
    <w:lvl w:ilvl="4">
      <w:start w:val="1"/>
      <w:numFmt w:val="decimal"/>
      <w:lvlText w:val="%1.%2.%3.%4.%5"/>
      <w:lvlJc w:val="left"/>
      <w:pPr>
        <w:tabs>
          <w:tab w:val="num" w:pos="3600"/>
        </w:tabs>
        <w:ind w:left="3600" w:hanging="3600"/>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9">
    <w:nsid w:val="38A41D9D"/>
    <w:multiLevelType w:val="multilevel"/>
    <w:tmpl w:val="B1AEF048"/>
    <w:lvl w:ilvl="0">
      <w:start w:val="19"/>
      <w:numFmt w:val="decimal"/>
      <w:lvlText w:val="%1"/>
      <w:lvlJc w:val="left"/>
      <w:pPr>
        <w:ind w:left="465" w:hanging="465"/>
      </w:pPr>
      <w:rPr>
        <w:rFonts w:hint="default"/>
      </w:rPr>
    </w:lvl>
    <w:lvl w:ilvl="1">
      <w:start w:val="4"/>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4785743C"/>
    <w:multiLevelType w:val="hybridMultilevel"/>
    <w:tmpl w:val="A17A6322"/>
    <w:lvl w:ilvl="0" w:tplc="E57661B6">
      <w:start w:val="1"/>
      <w:numFmt w:val="decimal"/>
      <w:lvlText w:val="%1."/>
      <w:lvlJc w:val="left"/>
      <w:pPr>
        <w:ind w:left="3240" w:hanging="360"/>
      </w:pPr>
      <w:rPr>
        <w:rFonts w:hint="default"/>
      </w:rPr>
    </w:lvl>
    <w:lvl w:ilvl="1" w:tplc="E7961BB8" w:tentative="1">
      <w:start w:val="1"/>
      <w:numFmt w:val="lowerLetter"/>
      <w:lvlText w:val="%2."/>
      <w:lvlJc w:val="left"/>
      <w:pPr>
        <w:ind w:left="3960" w:hanging="360"/>
      </w:pPr>
    </w:lvl>
    <w:lvl w:ilvl="2" w:tplc="CD84E704" w:tentative="1">
      <w:start w:val="1"/>
      <w:numFmt w:val="lowerRoman"/>
      <w:lvlText w:val="%3."/>
      <w:lvlJc w:val="right"/>
      <w:pPr>
        <w:ind w:left="4680" w:hanging="180"/>
      </w:pPr>
    </w:lvl>
    <w:lvl w:ilvl="3" w:tplc="295AE502" w:tentative="1">
      <w:start w:val="1"/>
      <w:numFmt w:val="decimal"/>
      <w:lvlText w:val="%4."/>
      <w:lvlJc w:val="left"/>
      <w:pPr>
        <w:ind w:left="5400" w:hanging="360"/>
      </w:pPr>
    </w:lvl>
    <w:lvl w:ilvl="4" w:tplc="0532AD36" w:tentative="1">
      <w:start w:val="1"/>
      <w:numFmt w:val="lowerLetter"/>
      <w:lvlText w:val="%5."/>
      <w:lvlJc w:val="left"/>
      <w:pPr>
        <w:ind w:left="6120" w:hanging="360"/>
      </w:pPr>
    </w:lvl>
    <w:lvl w:ilvl="5" w:tplc="67C67DC4" w:tentative="1">
      <w:start w:val="1"/>
      <w:numFmt w:val="lowerRoman"/>
      <w:lvlText w:val="%6."/>
      <w:lvlJc w:val="right"/>
      <w:pPr>
        <w:ind w:left="6840" w:hanging="180"/>
      </w:pPr>
    </w:lvl>
    <w:lvl w:ilvl="6" w:tplc="67468774" w:tentative="1">
      <w:start w:val="1"/>
      <w:numFmt w:val="decimal"/>
      <w:lvlText w:val="%7."/>
      <w:lvlJc w:val="left"/>
      <w:pPr>
        <w:ind w:left="7560" w:hanging="360"/>
      </w:pPr>
    </w:lvl>
    <w:lvl w:ilvl="7" w:tplc="DF08F43A" w:tentative="1">
      <w:start w:val="1"/>
      <w:numFmt w:val="lowerLetter"/>
      <w:lvlText w:val="%8."/>
      <w:lvlJc w:val="left"/>
      <w:pPr>
        <w:ind w:left="8280" w:hanging="360"/>
      </w:pPr>
    </w:lvl>
    <w:lvl w:ilvl="8" w:tplc="EB8CF8B4" w:tentative="1">
      <w:start w:val="1"/>
      <w:numFmt w:val="lowerRoman"/>
      <w:lvlText w:val="%9."/>
      <w:lvlJc w:val="right"/>
      <w:pPr>
        <w:ind w:left="9000" w:hanging="180"/>
      </w:pPr>
    </w:lvl>
  </w:abstractNum>
  <w:abstractNum w:abstractNumId="11">
    <w:nsid w:val="5A485276"/>
    <w:multiLevelType w:val="multilevel"/>
    <w:tmpl w:val="1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D8A4921"/>
    <w:multiLevelType w:val="multilevel"/>
    <w:tmpl w:val="C5249D98"/>
    <w:lvl w:ilvl="0">
      <w:start w:val="1"/>
      <w:numFmt w:val="decimal"/>
      <w:pStyle w:val="Clause1Head"/>
      <w:isLgl/>
      <w:lvlText w:val="%1."/>
      <w:lvlJc w:val="left"/>
      <w:pPr>
        <w:tabs>
          <w:tab w:val="num" w:pos="720"/>
        </w:tabs>
        <w:ind w:left="720" w:hanging="720"/>
      </w:pPr>
      <w:rPr>
        <w:rFonts w:ascii="Arial" w:hAnsi="Arial" w:hint="default"/>
        <w:b w:val="0"/>
        <w:i w:val="0"/>
        <w:sz w:val="20"/>
        <w:szCs w:val="20"/>
      </w:rPr>
    </w:lvl>
    <w:lvl w:ilvl="1">
      <w:start w:val="1"/>
      <w:numFmt w:val="decimal"/>
      <w:pStyle w:val="Clause2Sub"/>
      <w:lvlText w:val="%1.%2."/>
      <w:lvlJc w:val="left"/>
      <w:pPr>
        <w:tabs>
          <w:tab w:val="num" w:pos="1440"/>
        </w:tabs>
        <w:ind w:left="1440" w:hanging="720"/>
      </w:pPr>
      <w:rPr>
        <w:rFonts w:hint="default"/>
        <w:i w:val="0"/>
      </w:rPr>
    </w:lvl>
    <w:lvl w:ilvl="2">
      <w:start w:val="1"/>
      <w:numFmt w:val="decimal"/>
      <w:pStyle w:val="Clause3Sub"/>
      <w:lvlText w:val="%1.%2.%3."/>
      <w:lvlJc w:val="left"/>
      <w:pPr>
        <w:tabs>
          <w:tab w:val="num" w:pos="2552"/>
        </w:tabs>
        <w:ind w:left="2552" w:hanging="1112"/>
      </w:pPr>
      <w:rPr>
        <w:rFonts w:hint="default"/>
      </w:rPr>
    </w:lvl>
    <w:lvl w:ilvl="3">
      <w:start w:val="1"/>
      <w:numFmt w:val="decimal"/>
      <w:pStyle w:val="Clause4Sub"/>
      <w:lvlText w:val="%1.%2.%3.%4."/>
      <w:lvlJc w:val="left"/>
      <w:pPr>
        <w:tabs>
          <w:tab w:val="num" w:pos="3600"/>
        </w:tabs>
        <w:ind w:left="3600" w:hanging="1048"/>
      </w:pPr>
      <w:rPr>
        <w:rFonts w:hint="default"/>
      </w:rPr>
    </w:lvl>
    <w:lvl w:ilvl="4">
      <w:start w:val="1"/>
      <w:numFmt w:val="decimal"/>
      <w:pStyle w:val="Clause5Sub"/>
      <w:lvlText w:val="%1.%2.%3.%4.%5."/>
      <w:lvlJc w:val="left"/>
      <w:pPr>
        <w:tabs>
          <w:tab w:val="num" w:pos="5041"/>
        </w:tabs>
        <w:ind w:left="5041" w:hanging="1441"/>
      </w:pPr>
      <w:rPr>
        <w:rFonts w:hint="default"/>
      </w:rPr>
    </w:lvl>
    <w:lvl w:ilvl="5">
      <w:start w:val="1"/>
      <w:numFmt w:val="decimal"/>
      <w:pStyle w:val="Clause6Sub"/>
      <w:lvlText w:val="%1.%2.%3.%4.%5.%6."/>
      <w:lvlJc w:val="left"/>
      <w:pPr>
        <w:tabs>
          <w:tab w:val="num" w:pos="6481"/>
        </w:tabs>
        <w:ind w:left="6481" w:hanging="1440"/>
      </w:pPr>
      <w:rPr>
        <w:rFonts w:hint="default"/>
      </w:rPr>
    </w:lvl>
    <w:lvl w:ilvl="6">
      <w:start w:val="1"/>
      <w:numFmt w:val="decimal"/>
      <w:pStyle w:val="Clause7Sub"/>
      <w:lvlText w:val="%1.%2.%3.%4.%5.%6.%7."/>
      <w:lvlJc w:val="left"/>
      <w:pPr>
        <w:tabs>
          <w:tab w:val="num" w:pos="7201"/>
        </w:tabs>
        <w:ind w:left="7201" w:hanging="1871"/>
      </w:pPr>
      <w:rPr>
        <w:rFonts w:hint="default"/>
      </w:rPr>
    </w:lvl>
    <w:lvl w:ilvl="7">
      <w:start w:val="1"/>
      <w:numFmt w:val="decimal"/>
      <w:pStyle w:val="Clause8Sub"/>
      <w:lvlText w:val="%1.%2.%3.%4.%5.%6.%7.%8."/>
      <w:lvlJc w:val="left"/>
      <w:pPr>
        <w:tabs>
          <w:tab w:val="num" w:pos="7921"/>
        </w:tabs>
        <w:ind w:left="7921" w:hanging="1967"/>
      </w:pPr>
      <w:rPr>
        <w:rFonts w:hint="default"/>
      </w:rPr>
    </w:lvl>
    <w:lvl w:ilvl="8">
      <w:start w:val="1"/>
      <w:numFmt w:val="decimal"/>
      <w:pStyle w:val="Clause9Sub"/>
      <w:isLgl/>
      <w:lvlText w:val="%1.%2.%3.%4.%5.%6.%7.%8.%9."/>
      <w:lvlJc w:val="left"/>
      <w:pPr>
        <w:tabs>
          <w:tab w:val="num" w:pos="8222"/>
        </w:tabs>
        <w:ind w:left="8222" w:hanging="1741"/>
      </w:pPr>
      <w:rPr>
        <w:rFonts w:hint="default"/>
      </w:rPr>
    </w:lvl>
  </w:abstractNum>
  <w:abstractNum w:abstractNumId="13">
    <w:nsid w:val="7CB27F98"/>
    <w:multiLevelType w:val="multilevel"/>
    <w:tmpl w:val="E9F04306"/>
    <w:styleLink w:val="GOutlineParagraph"/>
    <w:lvl w:ilvl="0">
      <w:start w:val="1"/>
      <w:numFmt w:val="decimal"/>
      <w:pStyle w:val="GParagraphNumb"/>
      <w:lvlText w:val="%1."/>
      <w:lvlJc w:val="left"/>
      <w:pPr>
        <w:tabs>
          <w:tab w:val="num" w:pos="567"/>
        </w:tabs>
        <w:ind w:left="432" w:hanging="432"/>
      </w:pPr>
      <w:rPr>
        <w:rFonts w:hint="default"/>
      </w:rPr>
    </w:lvl>
    <w:lvl w:ilvl="1">
      <w:start w:val="1"/>
      <w:numFmt w:val="decimal"/>
      <w:lvlText w:val="%1.%2."/>
      <w:lvlJc w:val="left"/>
      <w:pPr>
        <w:ind w:left="1008" w:hanging="576"/>
      </w:pPr>
      <w:rPr>
        <w:rFonts w:hint="default"/>
      </w:rPr>
    </w:lvl>
    <w:lvl w:ilvl="2">
      <w:start w:val="1"/>
      <w:numFmt w:val="decimal"/>
      <w:lvlText w:val="%1.%2.%3."/>
      <w:lvlJc w:val="left"/>
      <w:pPr>
        <w:ind w:left="1800" w:hanging="792"/>
      </w:pPr>
      <w:rPr>
        <w:rFonts w:hint="default"/>
      </w:rPr>
    </w:lvl>
    <w:lvl w:ilvl="3">
      <w:start w:val="1"/>
      <w:numFmt w:val="decimal"/>
      <w:lvlText w:val="%1.%2.%3.%4."/>
      <w:lvlJc w:val="left"/>
      <w:pPr>
        <w:tabs>
          <w:tab w:val="num" w:pos="1729"/>
        </w:tabs>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11"/>
  </w:num>
  <w:num w:numId="3">
    <w:abstractNumId w:val="13"/>
  </w:num>
  <w:num w:numId="4">
    <w:abstractNumId w:val="10"/>
  </w:num>
  <w:num w:numId="5">
    <w:abstractNumId w:val="8"/>
  </w:num>
  <w:num w:numId="6">
    <w:abstractNumId w:val="2"/>
  </w:num>
  <w:num w:numId="7">
    <w:abstractNumId w:val="1"/>
  </w:num>
  <w:num w:numId="8">
    <w:abstractNumId w:val="5"/>
  </w:num>
  <w:num w:numId="9">
    <w:abstractNumId w:val="4"/>
  </w:num>
  <w:num w:numId="10">
    <w:abstractNumId w:val="6"/>
  </w:num>
  <w:num w:numId="11">
    <w:abstractNumId w:val="0"/>
  </w:num>
  <w:num w:numId="12">
    <w:abstractNumId w:val="3"/>
  </w:num>
  <w:num w:numId="13">
    <w:abstractNumId w:val="7"/>
  </w:num>
  <w:num w:numId="14">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proofState w:spelling="clean" w:grammar="clean"/>
  <w:defaultTabStop w:val="720"/>
  <w:characterSpacingControl w:val="doNotCompress"/>
  <w:footnotePr>
    <w:footnote w:id="-1"/>
    <w:footnote w:id="0"/>
  </w:footnotePr>
  <w:endnotePr>
    <w:endnote w:id="-1"/>
    <w:endnote w:id="0"/>
  </w:endnotePr>
  <w:compat/>
  <w:rsids>
    <w:rsidRoot w:val="005124D1"/>
    <w:rsid w:val="00001342"/>
    <w:rsid w:val="0000192F"/>
    <w:rsid w:val="00001A83"/>
    <w:rsid w:val="00002126"/>
    <w:rsid w:val="00004BA9"/>
    <w:rsid w:val="00005302"/>
    <w:rsid w:val="00005BED"/>
    <w:rsid w:val="00006C1C"/>
    <w:rsid w:val="00011B90"/>
    <w:rsid w:val="00015008"/>
    <w:rsid w:val="0001519A"/>
    <w:rsid w:val="000158CC"/>
    <w:rsid w:val="0001661E"/>
    <w:rsid w:val="00017484"/>
    <w:rsid w:val="0002044E"/>
    <w:rsid w:val="00020B7A"/>
    <w:rsid w:val="0002280C"/>
    <w:rsid w:val="00022A74"/>
    <w:rsid w:val="00023E0B"/>
    <w:rsid w:val="000243F3"/>
    <w:rsid w:val="00024A96"/>
    <w:rsid w:val="000278B6"/>
    <w:rsid w:val="0003082A"/>
    <w:rsid w:val="00031B56"/>
    <w:rsid w:val="000339B7"/>
    <w:rsid w:val="00033FB0"/>
    <w:rsid w:val="0003458F"/>
    <w:rsid w:val="00034979"/>
    <w:rsid w:val="00035DDB"/>
    <w:rsid w:val="00037625"/>
    <w:rsid w:val="00037F27"/>
    <w:rsid w:val="00042832"/>
    <w:rsid w:val="00042DC5"/>
    <w:rsid w:val="00043040"/>
    <w:rsid w:val="00044098"/>
    <w:rsid w:val="00044450"/>
    <w:rsid w:val="00044B07"/>
    <w:rsid w:val="00044B9E"/>
    <w:rsid w:val="000456E9"/>
    <w:rsid w:val="00045BDA"/>
    <w:rsid w:val="00045C25"/>
    <w:rsid w:val="000462A7"/>
    <w:rsid w:val="00050091"/>
    <w:rsid w:val="0005151F"/>
    <w:rsid w:val="00053F40"/>
    <w:rsid w:val="00054695"/>
    <w:rsid w:val="00056480"/>
    <w:rsid w:val="000565FD"/>
    <w:rsid w:val="00061526"/>
    <w:rsid w:val="00061BE2"/>
    <w:rsid w:val="00061BF9"/>
    <w:rsid w:val="000627C3"/>
    <w:rsid w:val="00063235"/>
    <w:rsid w:val="00063984"/>
    <w:rsid w:val="00064278"/>
    <w:rsid w:val="000642E9"/>
    <w:rsid w:val="0006623F"/>
    <w:rsid w:val="00066300"/>
    <w:rsid w:val="000671F4"/>
    <w:rsid w:val="00067ACF"/>
    <w:rsid w:val="000707E8"/>
    <w:rsid w:val="00070F7D"/>
    <w:rsid w:val="00071EBF"/>
    <w:rsid w:val="000720D7"/>
    <w:rsid w:val="000725AB"/>
    <w:rsid w:val="00073C03"/>
    <w:rsid w:val="0007431E"/>
    <w:rsid w:val="000765CE"/>
    <w:rsid w:val="000804CE"/>
    <w:rsid w:val="00083529"/>
    <w:rsid w:val="0008372D"/>
    <w:rsid w:val="0008450E"/>
    <w:rsid w:val="00085E55"/>
    <w:rsid w:val="00086360"/>
    <w:rsid w:val="00086772"/>
    <w:rsid w:val="0008755F"/>
    <w:rsid w:val="00090250"/>
    <w:rsid w:val="00090C72"/>
    <w:rsid w:val="000913B3"/>
    <w:rsid w:val="000919D9"/>
    <w:rsid w:val="0009334A"/>
    <w:rsid w:val="00094AF1"/>
    <w:rsid w:val="00094F83"/>
    <w:rsid w:val="000963B4"/>
    <w:rsid w:val="0009778E"/>
    <w:rsid w:val="000979EB"/>
    <w:rsid w:val="00097CAC"/>
    <w:rsid w:val="000A32ED"/>
    <w:rsid w:val="000A3A75"/>
    <w:rsid w:val="000A3C1A"/>
    <w:rsid w:val="000A66A4"/>
    <w:rsid w:val="000A66B4"/>
    <w:rsid w:val="000A6982"/>
    <w:rsid w:val="000A7DBD"/>
    <w:rsid w:val="000B10B0"/>
    <w:rsid w:val="000B1446"/>
    <w:rsid w:val="000B182D"/>
    <w:rsid w:val="000B2ED2"/>
    <w:rsid w:val="000B3059"/>
    <w:rsid w:val="000B30F9"/>
    <w:rsid w:val="000B3B5A"/>
    <w:rsid w:val="000B53EF"/>
    <w:rsid w:val="000B71C8"/>
    <w:rsid w:val="000B7825"/>
    <w:rsid w:val="000B7B57"/>
    <w:rsid w:val="000C0188"/>
    <w:rsid w:val="000C0222"/>
    <w:rsid w:val="000C0B01"/>
    <w:rsid w:val="000C1639"/>
    <w:rsid w:val="000C3F1E"/>
    <w:rsid w:val="000C4D11"/>
    <w:rsid w:val="000C4F55"/>
    <w:rsid w:val="000C6253"/>
    <w:rsid w:val="000D105D"/>
    <w:rsid w:val="000D1D99"/>
    <w:rsid w:val="000D3E65"/>
    <w:rsid w:val="000D5AAF"/>
    <w:rsid w:val="000D5DAF"/>
    <w:rsid w:val="000D6A5B"/>
    <w:rsid w:val="000E0B7F"/>
    <w:rsid w:val="000E0D4D"/>
    <w:rsid w:val="000E0EF1"/>
    <w:rsid w:val="000E1345"/>
    <w:rsid w:val="000E1B12"/>
    <w:rsid w:val="000E1B91"/>
    <w:rsid w:val="000E4128"/>
    <w:rsid w:val="000E455E"/>
    <w:rsid w:val="000E4B6F"/>
    <w:rsid w:val="000E624F"/>
    <w:rsid w:val="000E7802"/>
    <w:rsid w:val="000E792F"/>
    <w:rsid w:val="000F16D2"/>
    <w:rsid w:val="000F3F7A"/>
    <w:rsid w:val="000F43F9"/>
    <w:rsid w:val="000F463E"/>
    <w:rsid w:val="000F5246"/>
    <w:rsid w:val="000F6A7B"/>
    <w:rsid w:val="000F7D1C"/>
    <w:rsid w:val="00100026"/>
    <w:rsid w:val="00101385"/>
    <w:rsid w:val="001051BB"/>
    <w:rsid w:val="0010541C"/>
    <w:rsid w:val="00105B8B"/>
    <w:rsid w:val="001068A7"/>
    <w:rsid w:val="00107065"/>
    <w:rsid w:val="00107A55"/>
    <w:rsid w:val="00107CE6"/>
    <w:rsid w:val="00111C1E"/>
    <w:rsid w:val="00112BF8"/>
    <w:rsid w:val="001150CF"/>
    <w:rsid w:val="001169BC"/>
    <w:rsid w:val="00117481"/>
    <w:rsid w:val="001174AF"/>
    <w:rsid w:val="001178E3"/>
    <w:rsid w:val="00117C27"/>
    <w:rsid w:val="00117E3F"/>
    <w:rsid w:val="00120635"/>
    <w:rsid w:val="00121579"/>
    <w:rsid w:val="00123A79"/>
    <w:rsid w:val="00123BC5"/>
    <w:rsid w:val="001241C6"/>
    <w:rsid w:val="0012505B"/>
    <w:rsid w:val="00125FAD"/>
    <w:rsid w:val="00126035"/>
    <w:rsid w:val="0012610F"/>
    <w:rsid w:val="00126385"/>
    <w:rsid w:val="001263D0"/>
    <w:rsid w:val="0012646B"/>
    <w:rsid w:val="00126E08"/>
    <w:rsid w:val="001274EF"/>
    <w:rsid w:val="00130230"/>
    <w:rsid w:val="0013047A"/>
    <w:rsid w:val="00130A0C"/>
    <w:rsid w:val="001321CE"/>
    <w:rsid w:val="001332FF"/>
    <w:rsid w:val="0013361D"/>
    <w:rsid w:val="00135183"/>
    <w:rsid w:val="001356A7"/>
    <w:rsid w:val="00135CFD"/>
    <w:rsid w:val="00136DA9"/>
    <w:rsid w:val="001372B4"/>
    <w:rsid w:val="00142ABF"/>
    <w:rsid w:val="00144183"/>
    <w:rsid w:val="00144A4C"/>
    <w:rsid w:val="00145248"/>
    <w:rsid w:val="00146F37"/>
    <w:rsid w:val="00147D55"/>
    <w:rsid w:val="00150CB3"/>
    <w:rsid w:val="001514D0"/>
    <w:rsid w:val="00151AFF"/>
    <w:rsid w:val="00151B06"/>
    <w:rsid w:val="00153B74"/>
    <w:rsid w:val="00157BC9"/>
    <w:rsid w:val="00157F5F"/>
    <w:rsid w:val="0016014A"/>
    <w:rsid w:val="00160ED8"/>
    <w:rsid w:val="00164B84"/>
    <w:rsid w:val="001650B0"/>
    <w:rsid w:val="0017045C"/>
    <w:rsid w:val="001705FB"/>
    <w:rsid w:val="001718C1"/>
    <w:rsid w:val="00172E67"/>
    <w:rsid w:val="001739BA"/>
    <w:rsid w:val="0017476C"/>
    <w:rsid w:val="00174940"/>
    <w:rsid w:val="00175DAC"/>
    <w:rsid w:val="0017791A"/>
    <w:rsid w:val="00180AD1"/>
    <w:rsid w:val="0018284A"/>
    <w:rsid w:val="00184251"/>
    <w:rsid w:val="00185DDA"/>
    <w:rsid w:val="00185F5C"/>
    <w:rsid w:val="0018758F"/>
    <w:rsid w:val="001878F0"/>
    <w:rsid w:val="0019053F"/>
    <w:rsid w:val="00191190"/>
    <w:rsid w:val="001921B4"/>
    <w:rsid w:val="00192BDE"/>
    <w:rsid w:val="00192CCE"/>
    <w:rsid w:val="00192DAD"/>
    <w:rsid w:val="00193DC6"/>
    <w:rsid w:val="00194AB3"/>
    <w:rsid w:val="00196303"/>
    <w:rsid w:val="00196C02"/>
    <w:rsid w:val="00197BC3"/>
    <w:rsid w:val="001A118B"/>
    <w:rsid w:val="001A3C90"/>
    <w:rsid w:val="001A478B"/>
    <w:rsid w:val="001A5477"/>
    <w:rsid w:val="001A57E5"/>
    <w:rsid w:val="001A5C08"/>
    <w:rsid w:val="001A5F8E"/>
    <w:rsid w:val="001A74DE"/>
    <w:rsid w:val="001B08EF"/>
    <w:rsid w:val="001B1166"/>
    <w:rsid w:val="001B2011"/>
    <w:rsid w:val="001B2141"/>
    <w:rsid w:val="001B5B06"/>
    <w:rsid w:val="001B6E87"/>
    <w:rsid w:val="001B6EE9"/>
    <w:rsid w:val="001B7A20"/>
    <w:rsid w:val="001B7A22"/>
    <w:rsid w:val="001C04D5"/>
    <w:rsid w:val="001C3723"/>
    <w:rsid w:val="001C3A94"/>
    <w:rsid w:val="001C4758"/>
    <w:rsid w:val="001C4E42"/>
    <w:rsid w:val="001C620A"/>
    <w:rsid w:val="001C652D"/>
    <w:rsid w:val="001D0074"/>
    <w:rsid w:val="001D144E"/>
    <w:rsid w:val="001D1BEE"/>
    <w:rsid w:val="001D3070"/>
    <w:rsid w:val="001D552A"/>
    <w:rsid w:val="001D73F3"/>
    <w:rsid w:val="001E024B"/>
    <w:rsid w:val="001E1F98"/>
    <w:rsid w:val="001E2207"/>
    <w:rsid w:val="001E3102"/>
    <w:rsid w:val="001E3477"/>
    <w:rsid w:val="001E4B60"/>
    <w:rsid w:val="001E535C"/>
    <w:rsid w:val="001E58D1"/>
    <w:rsid w:val="001E69FC"/>
    <w:rsid w:val="001E6A64"/>
    <w:rsid w:val="001F0D76"/>
    <w:rsid w:val="001F11F0"/>
    <w:rsid w:val="001F1583"/>
    <w:rsid w:val="001F16B3"/>
    <w:rsid w:val="001F1BC8"/>
    <w:rsid w:val="001F1D8B"/>
    <w:rsid w:val="001F25EC"/>
    <w:rsid w:val="001F262C"/>
    <w:rsid w:val="001F355F"/>
    <w:rsid w:val="001F3874"/>
    <w:rsid w:val="001F44A4"/>
    <w:rsid w:val="001F6252"/>
    <w:rsid w:val="00200693"/>
    <w:rsid w:val="002006AC"/>
    <w:rsid w:val="00201212"/>
    <w:rsid w:val="00202E80"/>
    <w:rsid w:val="002039D3"/>
    <w:rsid w:val="00203FE7"/>
    <w:rsid w:val="00204076"/>
    <w:rsid w:val="00204C7E"/>
    <w:rsid w:val="00204F9A"/>
    <w:rsid w:val="00205640"/>
    <w:rsid w:val="00205904"/>
    <w:rsid w:val="002062EC"/>
    <w:rsid w:val="002066AB"/>
    <w:rsid w:val="0020675B"/>
    <w:rsid w:val="00207E6B"/>
    <w:rsid w:val="0021051C"/>
    <w:rsid w:val="00210A01"/>
    <w:rsid w:val="00210EA6"/>
    <w:rsid w:val="00213D42"/>
    <w:rsid w:val="00213DB9"/>
    <w:rsid w:val="00214016"/>
    <w:rsid w:val="0021603E"/>
    <w:rsid w:val="00216FEE"/>
    <w:rsid w:val="00221F50"/>
    <w:rsid w:val="00223E84"/>
    <w:rsid w:val="00226BBF"/>
    <w:rsid w:val="002270F2"/>
    <w:rsid w:val="0022770D"/>
    <w:rsid w:val="00231C18"/>
    <w:rsid w:val="002339BC"/>
    <w:rsid w:val="00240FBD"/>
    <w:rsid w:val="0024134E"/>
    <w:rsid w:val="00241F8B"/>
    <w:rsid w:val="00242DB0"/>
    <w:rsid w:val="002431DE"/>
    <w:rsid w:val="00244219"/>
    <w:rsid w:val="002446C7"/>
    <w:rsid w:val="00247929"/>
    <w:rsid w:val="00247A03"/>
    <w:rsid w:val="002504B7"/>
    <w:rsid w:val="00250635"/>
    <w:rsid w:val="002511A1"/>
    <w:rsid w:val="00251B38"/>
    <w:rsid w:val="00254398"/>
    <w:rsid w:val="0025554A"/>
    <w:rsid w:val="00261A60"/>
    <w:rsid w:val="00261D49"/>
    <w:rsid w:val="00263612"/>
    <w:rsid w:val="0026687F"/>
    <w:rsid w:val="00271541"/>
    <w:rsid w:val="00272231"/>
    <w:rsid w:val="00273D4D"/>
    <w:rsid w:val="00274753"/>
    <w:rsid w:val="002747F6"/>
    <w:rsid w:val="00274A3F"/>
    <w:rsid w:val="002769EC"/>
    <w:rsid w:val="002770AD"/>
    <w:rsid w:val="00277475"/>
    <w:rsid w:val="0028030E"/>
    <w:rsid w:val="00280E09"/>
    <w:rsid w:val="0028170A"/>
    <w:rsid w:val="00282911"/>
    <w:rsid w:val="002844E5"/>
    <w:rsid w:val="002863EB"/>
    <w:rsid w:val="002863F0"/>
    <w:rsid w:val="00286A17"/>
    <w:rsid w:val="00287492"/>
    <w:rsid w:val="00290CAA"/>
    <w:rsid w:val="002936C2"/>
    <w:rsid w:val="002947F6"/>
    <w:rsid w:val="002A18CA"/>
    <w:rsid w:val="002A28E6"/>
    <w:rsid w:val="002A3D7A"/>
    <w:rsid w:val="002A5523"/>
    <w:rsid w:val="002A55D6"/>
    <w:rsid w:val="002A6EB9"/>
    <w:rsid w:val="002B06EF"/>
    <w:rsid w:val="002B0D42"/>
    <w:rsid w:val="002B16C7"/>
    <w:rsid w:val="002C100E"/>
    <w:rsid w:val="002C1E42"/>
    <w:rsid w:val="002C2123"/>
    <w:rsid w:val="002C26F3"/>
    <w:rsid w:val="002C3892"/>
    <w:rsid w:val="002C39D2"/>
    <w:rsid w:val="002C3CDE"/>
    <w:rsid w:val="002D0BF6"/>
    <w:rsid w:val="002D1EF2"/>
    <w:rsid w:val="002D47C5"/>
    <w:rsid w:val="002D5C08"/>
    <w:rsid w:val="002E05A9"/>
    <w:rsid w:val="002E0869"/>
    <w:rsid w:val="002E103A"/>
    <w:rsid w:val="002E1654"/>
    <w:rsid w:val="002E252D"/>
    <w:rsid w:val="002E2765"/>
    <w:rsid w:val="002E4E1C"/>
    <w:rsid w:val="002E4EEB"/>
    <w:rsid w:val="002E586B"/>
    <w:rsid w:val="002E62AF"/>
    <w:rsid w:val="002E6A2E"/>
    <w:rsid w:val="002E7A2D"/>
    <w:rsid w:val="002E7B9B"/>
    <w:rsid w:val="002F40E8"/>
    <w:rsid w:val="002F414B"/>
    <w:rsid w:val="002F4C01"/>
    <w:rsid w:val="002F5A10"/>
    <w:rsid w:val="002F64E8"/>
    <w:rsid w:val="002F74A1"/>
    <w:rsid w:val="002F7A6A"/>
    <w:rsid w:val="0030263C"/>
    <w:rsid w:val="00304104"/>
    <w:rsid w:val="003048B4"/>
    <w:rsid w:val="0030568B"/>
    <w:rsid w:val="003059E7"/>
    <w:rsid w:val="00307BBE"/>
    <w:rsid w:val="00310B3A"/>
    <w:rsid w:val="00310CB0"/>
    <w:rsid w:val="00311F80"/>
    <w:rsid w:val="00312E28"/>
    <w:rsid w:val="00313A88"/>
    <w:rsid w:val="00314669"/>
    <w:rsid w:val="0031545A"/>
    <w:rsid w:val="00315CA2"/>
    <w:rsid w:val="00315CF8"/>
    <w:rsid w:val="00315EA5"/>
    <w:rsid w:val="00316304"/>
    <w:rsid w:val="0032087F"/>
    <w:rsid w:val="0032101E"/>
    <w:rsid w:val="003216B9"/>
    <w:rsid w:val="00321CE4"/>
    <w:rsid w:val="003220F1"/>
    <w:rsid w:val="003231DA"/>
    <w:rsid w:val="00323AE5"/>
    <w:rsid w:val="003242B6"/>
    <w:rsid w:val="00324A03"/>
    <w:rsid w:val="003259F0"/>
    <w:rsid w:val="00325BCE"/>
    <w:rsid w:val="003265C3"/>
    <w:rsid w:val="0032764A"/>
    <w:rsid w:val="003278AF"/>
    <w:rsid w:val="003279BB"/>
    <w:rsid w:val="00327F24"/>
    <w:rsid w:val="00330957"/>
    <w:rsid w:val="00330B0F"/>
    <w:rsid w:val="00331630"/>
    <w:rsid w:val="00332270"/>
    <w:rsid w:val="00333F78"/>
    <w:rsid w:val="00334095"/>
    <w:rsid w:val="003373B3"/>
    <w:rsid w:val="003400EF"/>
    <w:rsid w:val="00341251"/>
    <w:rsid w:val="00342556"/>
    <w:rsid w:val="00342CBE"/>
    <w:rsid w:val="00342FB9"/>
    <w:rsid w:val="00343B77"/>
    <w:rsid w:val="00344F93"/>
    <w:rsid w:val="003451C6"/>
    <w:rsid w:val="00347F9D"/>
    <w:rsid w:val="003504C8"/>
    <w:rsid w:val="003505CE"/>
    <w:rsid w:val="00350845"/>
    <w:rsid w:val="003508FE"/>
    <w:rsid w:val="0035165E"/>
    <w:rsid w:val="00351E92"/>
    <w:rsid w:val="003523D6"/>
    <w:rsid w:val="00353AC1"/>
    <w:rsid w:val="00354FEF"/>
    <w:rsid w:val="003554F3"/>
    <w:rsid w:val="00360055"/>
    <w:rsid w:val="003604A1"/>
    <w:rsid w:val="003604E4"/>
    <w:rsid w:val="003618F8"/>
    <w:rsid w:val="00361B8D"/>
    <w:rsid w:val="003620DA"/>
    <w:rsid w:val="00363186"/>
    <w:rsid w:val="00365595"/>
    <w:rsid w:val="00365736"/>
    <w:rsid w:val="003679B4"/>
    <w:rsid w:val="00367C8D"/>
    <w:rsid w:val="00370127"/>
    <w:rsid w:val="0037149A"/>
    <w:rsid w:val="00371E8A"/>
    <w:rsid w:val="0037395A"/>
    <w:rsid w:val="003739F9"/>
    <w:rsid w:val="00374F56"/>
    <w:rsid w:val="00381962"/>
    <w:rsid w:val="00383055"/>
    <w:rsid w:val="00383BE6"/>
    <w:rsid w:val="0038649E"/>
    <w:rsid w:val="0038677D"/>
    <w:rsid w:val="00386852"/>
    <w:rsid w:val="00390FF7"/>
    <w:rsid w:val="003916D3"/>
    <w:rsid w:val="003918E1"/>
    <w:rsid w:val="003928B8"/>
    <w:rsid w:val="00392CC0"/>
    <w:rsid w:val="0039762B"/>
    <w:rsid w:val="0039784D"/>
    <w:rsid w:val="00397CD8"/>
    <w:rsid w:val="003A0224"/>
    <w:rsid w:val="003A0C51"/>
    <w:rsid w:val="003A118C"/>
    <w:rsid w:val="003A1339"/>
    <w:rsid w:val="003A2F45"/>
    <w:rsid w:val="003A3A66"/>
    <w:rsid w:val="003A5FCF"/>
    <w:rsid w:val="003A6325"/>
    <w:rsid w:val="003B018F"/>
    <w:rsid w:val="003B01E8"/>
    <w:rsid w:val="003B1379"/>
    <w:rsid w:val="003B19C9"/>
    <w:rsid w:val="003B1C9D"/>
    <w:rsid w:val="003B266B"/>
    <w:rsid w:val="003B27BB"/>
    <w:rsid w:val="003B2BC6"/>
    <w:rsid w:val="003B4CA8"/>
    <w:rsid w:val="003B523B"/>
    <w:rsid w:val="003B60B9"/>
    <w:rsid w:val="003B6D9C"/>
    <w:rsid w:val="003B6F2F"/>
    <w:rsid w:val="003C0D6D"/>
    <w:rsid w:val="003C4B08"/>
    <w:rsid w:val="003C5989"/>
    <w:rsid w:val="003C5C81"/>
    <w:rsid w:val="003C5DA3"/>
    <w:rsid w:val="003C6CD5"/>
    <w:rsid w:val="003D3AB0"/>
    <w:rsid w:val="003D3DEC"/>
    <w:rsid w:val="003D4231"/>
    <w:rsid w:val="003D552D"/>
    <w:rsid w:val="003D61C6"/>
    <w:rsid w:val="003D6A85"/>
    <w:rsid w:val="003D7B00"/>
    <w:rsid w:val="003D7B4E"/>
    <w:rsid w:val="003E18E1"/>
    <w:rsid w:val="003E19D7"/>
    <w:rsid w:val="003E47E4"/>
    <w:rsid w:val="003E4AA1"/>
    <w:rsid w:val="003E54AF"/>
    <w:rsid w:val="003E5503"/>
    <w:rsid w:val="003E752D"/>
    <w:rsid w:val="003E7561"/>
    <w:rsid w:val="003E7A44"/>
    <w:rsid w:val="003F0C19"/>
    <w:rsid w:val="003F0F7A"/>
    <w:rsid w:val="003F2C60"/>
    <w:rsid w:val="003F339F"/>
    <w:rsid w:val="003F67D4"/>
    <w:rsid w:val="003F67E1"/>
    <w:rsid w:val="00400567"/>
    <w:rsid w:val="00400571"/>
    <w:rsid w:val="00400CCA"/>
    <w:rsid w:val="00410C3B"/>
    <w:rsid w:val="004138BC"/>
    <w:rsid w:val="00415393"/>
    <w:rsid w:val="004175B4"/>
    <w:rsid w:val="00417B95"/>
    <w:rsid w:val="00417F01"/>
    <w:rsid w:val="0042135F"/>
    <w:rsid w:val="004213F0"/>
    <w:rsid w:val="00422303"/>
    <w:rsid w:val="004235CA"/>
    <w:rsid w:val="0042411D"/>
    <w:rsid w:val="00424902"/>
    <w:rsid w:val="004251FC"/>
    <w:rsid w:val="004255E9"/>
    <w:rsid w:val="0042567D"/>
    <w:rsid w:val="0042670C"/>
    <w:rsid w:val="00434A3C"/>
    <w:rsid w:val="004417D8"/>
    <w:rsid w:val="00441D33"/>
    <w:rsid w:val="00442803"/>
    <w:rsid w:val="0044291E"/>
    <w:rsid w:val="004429E2"/>
    <w:rsid w:val="00443650"/>
    <w:rsid w:val="004447F7"/>
    <w:rsid w:val="00446839"/>
    <w:rsid w:val="00446B1C"/>
    <w:rsid w:val="004471AC"/>
    <w:rsid w:val="004504C9"/>
    <w:rsid w:val="00451C6F"/>
    <w:rsid w:val="00453114"/>
    <w:rsid w:val="004537B4"/>
    <w:rsid w:val="004546AC"/>
    <w:rsid w:val="004556ED"/>
    <w:rsid w:val="00456757"/>
    <w:rsid w:val="004567ED"/>
    <w:rsid w:val="0046047D"/>
    <w:rsid w:val="00461A3E"/>
    <w:rsid w:val="00461F88"/>
    <w:rsid w:val="004626B5"/>
    <w:rsid w:val="004629F2"/>
    <w:rsid w:val="00463C3A"/>
    <w:rsid w:val="004643AF"/>
    <w:rsid w:val="00465330"/>
    <w:rsid w:val="004655D9"/>
    <w:rsid w:val="00465C86"/>
    <w:rsid w:val="004660E1"/>
    <w:rsid w:val="004663D4"/>
    <w:rsid w:val="00467BD3"/>
    <w:rsid w:val="00467D10"/>
    <w:rsid w:val="00467DB9"/>
    <w:rsid w:val="00472A91"/>
    <w:rsid w:val="004731DF"/>
    <w:rsid w:val="00474AB1"/>
    <w:rsid w:val="00474B48"/>
    <w:rsid w:val="00475C1E"/>
    <w:rsid w:val="00476764"/>
    <w:rsid w:val="0048353D"/>
    <w:rsid w:val="00483AFC"/>
    <w:rsid w:val="0048488F"/>
    <w:rsid w:val="00484DD6"/>
    <w:rsid w:val="00484F71"/>
    <w:rsid w:val="004862C2"/>
    <w:rsid w:val="004866B4"/>
    <w:rsid w:val="004873D9"/>
    <w:rsid w:val="00490075"/>
    <w:rsid w:val="00492246"/>
    <w:rsid w:val="0049256C"/>
    <w:rsid w:val="00493177"/>
    <w:rsid w:val="004939E2"/>
    <w:rsid w:val="00494116"/>
    <w:rsid w:val="004950C3"/>
    <w:rsid w:val="004952B4"/>
    <w:rsid w:val="0049583D"/>
    <w:rsid w:val="0049747B"/>
    <w:rsid w:val="004976A4"/>
    <w:rsid w:val="00497833"/>
    <w:rsid w:val="004A1281"/>
    <w:rsid w:val="004A1C48"/>
    <w:rsid w:val="004A1DF0"/>
    <w:rsid w:val="004A2A81"/>
    <w:rsid w:val="004A3498"/>
    <w:rsid w:val="004A496F"/>
    <w:rsid w:val="004A4C29"/>
    <w:rsid w:val="004A5B6E"/>
    <w:rsid w:val="004A77BA"/>
    <w:rsid w:val="004B0227"/>
    <w:rsid w:val="004B0D64"/>
    <w:rsid w:val="004B2022"/>
    <w:rsid w:val="004B61BC"/>
    <w:rsid w:val="004B705F"/>
    <w:rsid w:val="004B79AB"/>
    <w:rsid w:val="004B7A27"/>
    <w:rsid w:val="004C1887"/>
    <w:rsid w:val="004C1C44"/>
    <w:rsid w:val="004C2F01"/>
    <w:rsid w:val="004C496C"/>
    <w:rsid w:val="004C5029"/>
    <w:rsid w:val="004C5812"/>
    <w:rsid w:val="004C5CB8"/>
    <w:rsid w:val="004D0D00"/>
    <w:rsid w:val="004D0D04"/>
    <w:rsid w:val="004D1680"/>
    <w:rsid w:val="004D189C"/>
    <w:rsid w:val="004D5532"/>
    <w:rsid w:val="004D641E"/>
    <w:rsid w:val="004E0241"/>
    <w:rsid w:val="004E2BBC"/>
    <w:rsid w:val="004E2ED7"/>
    <w:rsid w:val="004E4514"/>
    <w:rsid w:val="004E4517"/>
    <w:rsid w:val="004E469D"/>
    <w:rsid w:val="004E63A2"/>
    <w:rsid w:val="004E67AB"/>
    <w:rsid w:val="004E785F"/>
    <w:rsid w:val="004F0515"/>
    <w:rsid w:val="004F07A3"/>
    <w:rsid w:val="004F0D71"/>
    <w:rsid w:val="004F0DC2"/>
    <w:rsid w:val="004F11E8"/>
    <w:rsid w:val="004F5D0F"/>
    <w:rsid w:val="004F7170"/>
    <w:rsid w:val="00500548"/>
    <w:rsid w:val="00500623"/>
    <w:rsid w:val="005013A3"/>
    <w:rsid w:val="00502547"/>
    <w:rsid w:val="00502CF1"/>
    <w:rsid w:val="00503732"/>
    <w:rsid w:val="00503C65"/>
    <w:rsid w:val="00505665"/>
    <w:rsid w:val="0050646B"/>
    <w:rsid w:val="005079AD"/>
    <w:rsid w:val="00507B13"/>
    <w:rsid w:val="00507DA0"/>
    <w:rsid w:val="00510C1D"/>
    <w:rsid w:val="00511238"/>
    <w:rsid w:val="005124D1"/>
    <w:rsid w:val="00512EA9"/>
    <w:rsid w:val="00513B25"/>
    <w:rsid w:val="005140B1"/>
    <w:rsid w:val="0051426C"/>
    <w:rsid w:val="00514823"/>
    <w:rsid w:val="00517AC3"/>
    <w:rsid w:val="0052041C"/>
    <w:rsid w:val="00521392"/>
    <w:rsid w:val="005217CA"/>
    <w:rsid w:val="00522B96"/>
    <w:rsid w:val="00522EDF"/>
    <w:rsid w:val="00523237"/>
    <w:rsid w:val="0052398A"/>
    <w:rsid w:val="005242B3"/>
    <w:rsid w:val="00525855"/>
    <w:rsid w:val="005265CF"/>
    <w:rsid w:val="00526AB4"/>
    <w:rsid w:val="005316B0"/>
    <w:rsid w:val="005317FC"/>
    <w:rsid w:val="00540C90"/>
    <w:rsid w:val="00541DE8"/>
    <w:rsid w:val="005421B5"/>
    <w:rsid w:val="00542201"/>
    <w:rsid w:val="00543F9C"/>
    <w:rsid w:val="00544942"/>
    <w:rsid w:val="00545C23"/>
    <w:rsid w:val="0054608F"/>
    <w:rsid w:val="00546CD7"/>
    <w:rsid w:val="0054771E"/>
    <w:rsid w:val="0055248E"/>
    <w:rsid w:val="00554168"/>
    <w:rsid w:val="00554FD1"/>
    <w:rsid w:val="00556677"/>
    <w:rsid w:val="005571AB"/>
    <w:rsid w:val="005600E0"/>
    <w:rsid w:val="0056133D"/>
    <w:rsid w:val="00561C19"/>
    <w:rsid w:val="00562239"/>
    <w:rsid w:val="005631BA"/>
    <w:rsid w:val="005639FA"/>
    <w:rsid w:val="005643A4"/>
    <w:rsid w:val="00564EC3"/>
    <w:rsid w:val="00565ADC"/>
    <w:rsid w:val="005660FE"/>
    <w:rsid w:val="00566AA0"/>
    <w:rsid w:val="00570401"/>
    <w:rsid w:val="00575118"/>
    <w:rsid w:val="00575681"/>
    <w:rsid w:val="00576E55"/>
    <w:rsid w:val="005773BB"/>
    <w:rsid w:val="00577A0D"/>
    <w:rsid w:val="00580CB1"/>
    <w:rsid w:val="005810EF"/>
    <w:rsid w:val="00583A42"/>
    <w:rsid w:val="00583B5D"/>
    <w:rsid w:val="005842BD"/>
    <w:rsid w:val="005848C8"/>
    <w:rsid w:val="005862D4"/>
    <w:rsid w:val="005871C7"/>
    <w:rsid w:val="005900D5"/>
    <w:rsid w:val="005909B2"/>
    <w:rsid w:val="00591022"/>
    <w:rsid w:val="00593774"/>
    <w:rsid w:val="005942C0"/>
    <w:rsid w:val="0059516F"/>
    <w:rsid w:val="005951A2"/>
    <w:rsid w:val="00595952"/>
    <w:rsid w:val="00595D25"/>
    <w:rsid w:val="00596643"/>
    <w:rsid w:val="00597319"/>
    <w:rsid w:val="005977FE"/>
    <w:rsid w:val="005A006F"/>
    <w:rsid w:val="005A011F"/>
    <w:rsid w:val="005A0442"/>
    <w:rsid w:val="005A0DCD"/>
    <w:rsid w:val="005A18F1"/>
    <w:rsid w:val="005A1C7B"/>
    <w:rsid w:val="005A1FC9"/>
    <w:rsid w:val="005A26E7"/>
    <w:rsid w:val="005A34BA"/>
    <w:rsid w:val="005A4B6A"/>
    <w:rsid w:val="005A5E9E"/>
    <w:rsid w:val="005A65A2"/>
    <w:rsid w:val="005A7719"/>
    <w:rsid w:val="005B11AD"/>
    <w:rsid w:val="005B1F17"/>
    <w:rsid w:val="005B238B"/>
    <w:rsid w:val="005B35FF"/>
    <w:rsid w:val="005B3970"/>
    <w:rsid w:val="005B64A9"/>
    <w:rsid w:val="005B6CBA"/>
    <w:rsid w:val="005B7176"/>
    <w:rsid w:val="005C2205"/>
    <w:rsid w:val="005C2279"/>
    <w:rsid w:val="005C2414"/>
    <w:rsid w:val="005C2FC4"/>
    <w:rsid w:val="005C3413"/>
    <w:rsid w:val="005C483F"/>
    <w:rsid w:val="005C4CDD"/>
    <w:rsid w:val="005C5A41"/>
    <w:rsid w:val="005C5D30"/>
    <w:rsid w:val="005C63FA"/>
    <w:rsid w:val="005C6863"/>
    <w:rsid w:val="005C7146"/>
    <w:rsid w:val="005D1163"/>
    <w:rsid w:val="005D1526"/>
    <w:rsid w:val="005D15DF"/>
    <w:rsid w:val="005D17F1"/>
    <w:rsid w:val="005D18D9"/>
    <w:rsid w:val="005D1EAB"/>
    <w:rsid w:val="005D2E0E"/>
    <w:rsid w:val="005D400A"/>
    <w:rsid w:val="005D4C28"/>
    <w:rsid w:val="005D5F77"/>
    <w:rsid w:val="005D76DA"/>
    <w:rsid w:val="005E05C5"/>
    <w:rsid w:val="005E0981"/>
    <w:rsid w:val="005E09CD"/>
    <w:rsid w:val="005E1D6A"/>
    <w:rsid w:val="005E2D18"/>
    <w:rsid w:val="005E3AE7"/>
    <w:rsid w:val="005E3DE5"/>
    <w:rsid w:val="005E4384"/>
    <w:rsid w:val="005E4397"/>
    <w:rsid w:val="005E461A"/>
    <w:rsid w:val="005E4AC0"/>
    <w:rsid w:val="005E5026"/>
    <w:rsid w:val="005E52BC"/>
    <w:rsid w:val="005E5985"/>
    <w:rsid w:val="005F01A9"/>
    <w:rsid w:val="005F1573"/>
    <w:rsid w:val="005F16D9"/>
    <w:rsid w:val="005F6115"/>
    <w:rsid w:val="005F7683"/>
    <w:rsid w:val="005F7A03"/>
    <w:rsid w:val="005F7B78"/>
    <w:rsid w:val="005F7DB9"/>
    <w:rsid w:val="00600C07"/>
    <w:rsid w:val="00600DF6"/>
    <w:rsid w:val="00600F24"/>
    <w:rsid w:val="00605104"/>
    <w:rsid w:val="0060731F"/>
    <w:rsid w:val="00607B3A"/>
    <w:rsid w:val="00610EBB"/>
    <w:rsid w:val="006128BA"/>
    <w:rsid w:val="00613140"/>
    <w:rsid w:val="006141C0"/>
    <w:rsid w:val="00614968"/>
    <w:rsid w:val="00615077"/>
    <w:rsid w:val="00615D4F"/>
    <w:rsid w:val="006165C6"/>
    <w:rsid w:val="00616743"/>
    <w:rsid w:val="00617AB0"/>
    <w:rsid w:val="00617DFC"/>
    <w:rsid w:val="00620B94"/>
    <w:rsid w:val="006217EA"/>
    <w:rsid w:val="00622861"/>
    <w:rsid w:val="00623275"/>
    <w:rsid w:val="00626F2F"/>
    <w:rsid w:val="0063012D"/>
    <w:rsid w:val="00631B00"/>
    <w:rsid w:val="0063292E"/>
    <w:rsid w:val="006335C2"/>
    <w:rsid w:val="00633BE3"/>
    <w:rsid w:val="00633FCE"/>
    <w:rsid w:val="006360E7"/>
    <w:rsid w:val="006363F1"/>
    <w:rsid w:val="00636AD9"/>
    <w:rsid w:val="00640381"/>
    <w:rsid w:val="00640AC1"/>
    <w:rsid w:val="00640FD9"/>
    <w:rsid w:val="0064161A"/>
    <w:rsid w:val="006447C6"/>
    <w:rsid w:val="0064560D"/>
    <w:rsid w:val="00645A8F"/>
    <w:rsid w:val="00647545"/>
    <w:rsid w:val="00650593"/>
    <w:rsid w:val="0065069D"/>
    <w:rsid w:val="0065117B"/>
    <w:rsid w:val="00651D5B"/>
    <w:rsid w:val="0065231C"/>
    <w:rsid w:val="00652F94"/>
    <w:rsid w:val="006532B1"/>
    <w:rsid w:val="00653940"/>
    <w:rsid w:val="00654223"/>
    <w:rsid w:val="00655AB4"/>
    <w:rsid w:val="0065617B"/>
    <w:rsid w:val="006569C7"/>
    <w:rsid w:val="0065701B"/>
    <w:rsid w:val="00657761"/>
    <w:rsid w:val="00657CB7"/>
    <w:rsid w:val="00661EAE"/>
    <w:rsid w:val="006620B6"/>
    <w:rsid w:val="0066218D"/>
    <w:rsid w:val="0066252B"/>
    <w:rsid w:val="00663E48"/>
    <w:rsid w:val="00664535"/>
    <w:rsid w:val="0066508D"/>
    <w:rsid w:val="00665CB7"/>
    <w:rsid w:val="006667BA"/>
    <w:rsid w:val="00666B32"/>
    <w:rsid w:val="00670A91"/>
    <w:rsid w:val="00670BE7"/>
    <w:rsid w:val="00672C12"/>
    <w:rsid w:val="00674EB9"/>
    <w:rsid w:val="00675AA8"/>
    <w:rsid w:val="00675E38"/>
    <w:rsid w:val="00675F2F"/>
    <w:rsid w:val="006760B6"/>
    <w:rsid w:val="00680014"/>
    <w:rsid w:val="006801C2"/>
    <w:rsid w:val="0068114D"/>
    <w:rsid w:val="00681C6F"/>
    <w:rsid w:val="0068246F"/>
    <w:rsid w:val="0068272D"/>
    <w:rsid w:val="00682EEF"/>
    <w:rsid w:val="0068321A"/>
    <w:rsid w:val="006836F0"/>
    <w:rsid w:val="006845A3"/>
    <w:rsid w:val="00684AFF"/>
    <w:rsid w:val="00685BD3"/>
    <w:rsid w:val="0068699B"/>
    <w:rsid w:val="00687E25"/>
    <w:rsid w:val="00690F7D"/>
    <w:rsid w:val="00691ACA"/>
    <w:rsid w:val="00691ACF"/>
    <w:rsid w:val="0069338C"/>
    <w:rsid w:val="006933FA"/>
    <w:rsid w:val="00693819"/>
    <w:rsid w:val="006973F5"/>
    <w:rsid w:val="006A1574"/>
    <w:rsid w:val="006A1E83"/>
    <w:rsid w:val="006A2019"/>
    <w:rsid w:val="006A58FB"/>
    <w:rsid w:val="006A5D5B"/>
    <w:rsid w:val="006A5F24"/>
    <w:rsid w:val="006A6A41"/>
    <w:rsid w:val="006A768D"/>
    <w:rsid w:val="006B0301"/>
    <w:rsid w:val="006B1BFA"/>
    <w:rsid w:val="006B1CD6"/>
    <w:rsid w:val="006B23A0"/>
    <w:rsid w:val="006B5004"/>
    <w:rsid w:val="006B54CB"/>
    <w:rsid w:val="006B71F9"/>
    <w:rsid w:val="006B7CC5"/>
    <w:rsid w:val="006C025B"/>
    <w:rsid w:val="006C1C6F"/>
    <w:rsid w:val="006C2D92"/>
    <w:rsid w:val="006C4773"/>
    <w:rsid w:val="006C5CCA"/>
    <w:rsid w:val="006C6999"/>
    <w:rsid w:val="006C72D4"/>
    <w:rsid w:val="006D0D03"/>
    <w:rsid w:val="006D0EB3"/>
    <w:rsid w:val="006D1BD3"/>
    <w:rsid w:val="006D6E6B"/>
    <w:rsid w:val="006D7148"/>
    <w:rsid w:val="006E014D"/>
    <w:rsid w:val="006E0C77"/>
    <w:rsid w:val="006E2D6E"/>
    <w:rsid w:val="006E3D70"/>
    <w:rsid w:val="006E4F63"/>
    <w:rsid w:val="006E5EDC"/>
    <w:rsid w:val="006E5F4B"/>
    <w:rsid w:val="006E5F8C"/>
    <w:rsid w:val="006E6521"/>
    <w:rsid w:val="006E6EDC"/>
    <w:rsid w:val="006F2007"/>
    <w:rsid w:val="006F23ED"/>
    <w:rsid w:val="006F2A05"/>
    <w:rsid w:val="006F39F0"/>
    <w:rsid w:val="006F3D2D"/>
    <w:rsid w:val="006F42AF"/>
    <w:rsid w:val="006F5D66"/>
    <w:rsid w:val="006F6177"/>
    <w:rsid w:val="006F6491"/>
    <w:rsid w:val="007006B2"/>
    <w:rsid w:val="00700867"/>
    <w:rsid w:val="007035F6"/>
    <w:rsid w:val="00704C8F"/>
    <w:rsid w:val="00705DB8"/>
    <w:rsid w:val="007064C6"/>
    <w:rsid w:val="00707391"/>
    <w:rsid w:val="00707790"/>
    <w:rsid w:val="007101D1"/>
    <w:rsid w:val="007114F1"/>
    <w:rsid w:val="007115CE"/>
    <w:rsid w:val="00712402"/>
    <w:rsid w:val="00713B24"/>
    <w:rsid w:val="00715148"/>
    <w:rsid w:val="00715182"/>
    <w:rsid w:val="00715389"/>
    <w:rsid w:val="00715A99"/>
    <w:rsid w:val="00716057"/>
    <w:rsid w:val="00716C80"/>
    <w:rsid w:val="00717764"/>
    <w:rsid w:val="00721474"/>
    <w:rsid w:val="007253D7"/>
    <w:rsid w:val="00725A84"/>
    <w:rsid w:val="0072676C"/>
    <w:rsid w:val="00730047"/>
    <w:rsid w:val="007300F5"/>
    <w:rsid w:val="00730A82"/>
    <w:rsid w:val="00730D5C"/>
    <w:rsid w:val="00731425"/>
    <w:rsid w:val="00732537"/>
    <w:rsid w:val="00732660"/>
    <w:rsid w:val="007333E4"/>
    <w:rsid w:val="0073541B"/>
    <w:rsid w:val="00736577"/>
    <w:rsid w:val="00736ECC"/>
    <w:rsid w:val="00737629"/>
    <w:rsid w:val="00737772"/>
    <w:rsid w:val="00737E6A"/>
    <w:rsid w:val="00740EAD"/>
    <w:rsid w:val="00741B55"/>
    <w:rsid w:val="0074249F"/>
    <w:rsid w:val="00742A29"/>
    <w:rsid w:val="00742ED2"/>
    <w:rsid w:val="00743BD1"/>
    <w:rsid w:val="00746578"/>
    <w:rsid w:val="007468D2"/>
    <w:rsid w:val="007478B3"/>
    <w:rsid w:val="00751905"/>
    <w:rsid w:val="00753167"/>
    <w:rsid w:val="007535C0"/>
    <w:rsid w:val="00753632"/>
    <w:rsid w:val="00754073"/>
    <w:rsid w:val="00754705"/>
    <w:rsid w:val="00755321"/>
    <w:rsid w:val="00757F42"/>
    <w:rsid w:val="0076009D"/>
    <w:rsid w:val="00760C78"/>
    <w:rsid w:val="007617F7"/>
    <w:rsid w:val="00761B56"/>
    <w:rsid w:val="00761DF5"/>
    <w:rsid w:val="00762FB3"/>
    <w:rsid w:val="007647EB"/>
    <w:rsid w:val="00765AE5"/>
    <w:rsid w:val="00765DD6"/>
    <w:rsid w:val="00766B1D"/>
    <w:rsid w:val="00766BB1"/>
    <w:rsid w:val="00767AE3"/>
    <w:rsid w:val="0077044C"/>
    <w:rsid w:val="00770A2F"/>
    <w:rsid w:val="00771019"/>
    <w:rsid w:val="00771816"/>
    <w:rsid w:val="00771825"/>
    <w:rsid w:val="007721CC"/>
    <w:rsid w:val="0077268F"/>
    <w:rsid w:val="00772FA6"/>
    <w:rsid w:val="00774DEF"/>
    <w:rsid w:val="0077500D"/>
    <w:rsid w:val="007755B8"/>
    <w:rsid w:val="007758C2"/>
    <w:rsid w:val="007760FD"/>
    <w:rsid w:val="0077626A"/>
    <w:rsid w:val="007772DA"/>
    <w:rsid w:val="00780199"/>
    <w:rsid w:val="007819FE"/>
    <w:rsid w:val="007820F6"/>
    <w:rsid w:val="00782EFA"/>
    <w:rsid w:val="00783E92"/>
    <w:rsid w:val="007842DA"/>
    <w:rsid w:val="00784C5F"/>
    <w:rsid w:val="00784E9C"/>
    <w:rsid w:val="00785407"/>
    <w:rsid w:val="00785454"/>
    <w:rsid w:val="0078559B"/>
    <w:rsid w:val="00786629"/>
    <w:rsid w:val="00787434"/>
    <w:rsid w:val="00790754"/>
    <w:rsid w:val="0079081A"/>
    <w:rsid w:val="00792F24"/>
    <w:rsid w:val="007931D7"/>
    <w:rsid w:val="00793C5C"/>
    <w:rsid w:val="00793D34"/>
    <w:rsid w:val="00794C0E"/>
    <w:rsid w:val="00796190"/>
    <w:rsid w:val="00796B63"/>
    <w:rsid w:val="007A121E"/>
    <w:rsid w:val="007A1841"/>
    <w:rsid w:val="007A2615"/>
    <w:rsid w:val="007A2FB7"/>
    <w:rsid w:val="007A3993"/>
    <w:rsid w:val="007A4B92"/>
    <w:rsid w:val="007A5199"/>
    <w:rsid w:val="007A51EB"/>
    <w:rsid w:val="007A6368"/>
    <w:rsid w:val="007A7F09"/>
    <w:rsid w:val="007B0F11"/>
    <w:rsid w:val="007B13ED"/>
    <w:rsid w:val="007B266E"/>
    <w:rsid w:val="007B2732"/>
    <w:rsid w:val="007B3155"/>
    <w:rsid w:val="007B4F79"/>
    <w:rsid w:val="007B68F3"/>
    <w:rsid w:val="007B702D"/>
    <w:rsid w:val="007B74F0"/>
    <w:rsid w:val="007B784A"/>
    <w:rsid w:val="007C0046"/>
    <w:rsid w:val="007C00FC"/>
    <w:rsid w:val="007C22CC"/>
    <w:rsid w:val="007C279C"/>
    <w:rsid w:val="007C2CE1"/>
    <w:rsid w:val="007C45BD"/>
    <w:rsid w:val="007D1A06"/>
    <w:rsid w:val="007D22E9"/>
    <w:rsid w:val="007D257F"/>
    <w:rsid w:val="007D26A6"/>
    <w:rsid w:val="007D3A77"/>
    <w:rsid w:val="007D46AD"/>
    <w:rsid w:val="007D4AB6"/>
    <w:rsid w:val="007D4EF5"/>
    <w:rsid w:val="007D65FC"/>
    <w:rsid w:val="007D6CDB"/>
    <w:rsid w:val="007D6EF9"/>
    <w:rsid w:val="007E29C8"/>
    <w:rsid w:val="007E2FFE"/>
    <w:rsid w:val="007E300C"/>
    <w:rsid w:val="007E341C"/>
    <w:rsid w:val="007E64B7"/>
    <w:rsid w:val="007E7B7D"/>
    <w:rsid w:val="007F0B68"/>
    <w:rsid w:val="007F0C67"/>
    <w:rsid w:val="007F20D8"/>
    <w:rsid w:val="007F3720"/>
    <w:rsid w:val="007F4124"/>
    <w:rsid w:val="007F4FB7"/>
    <w:rsid w:val="007F5B94"/>
    <w:rsid w:val="007F6A25"/>
    <w:rsid w:val="007F705D"/>
    <w:rsid w:val="007F72EB"/>
    <w:rsid w:val="008001D4"/>
    <w:rsid w:val="0080051B"/>
    <w:rsid w:val="00800887"/>
    <w:rsid w:val="008013E6"/>
    <w:rsid w:val="008022F4"/>
    <w:rsid w:val="00802D1B"/>
    <w:rsid w:val="008046E1"/>
    <w:rsid w:val="0080472A"/>
    <w:rsid w:val="00805276"/>
    <w:rsid w:val="008053BF"/>
    <w:rsid w:val="0080582B"/>
    <w:rsid w:val="00805E85"/>
    <w:rsid w:val="00806249"/>
    <w:rsid w:val="0080650C"/>
    <w:rsid w:val="0081050C"/>
    <w:rsid w:val="0081073B"/>
    <w:rsid w:val="00810EBB"/>
    <w:rsid w:val="0081298B"/>
    <w:rsid w:val="00812D2C"/>
    <w:rsid w:val="008132BC"/>
    <w:rsid w:val="008132DD"/>
    <w:rsid w:val="00813350"/>
    <w:rsid w:val="00814243"/>
    <w:rsid w:val="00814983"/>
    <w:rsid w:val="008153DF"/>
    <w:rsid w:val="00815E2C"/>
    <w:rsid w:val="00820883"/>
    <w:rsid w:val="00822595"/>
    <w:rsid w:val="00822D31"/>
    <w:rsid w:val="00823375"/>
    <w:rsid w:val="00823A69"/>
    <w:rsid w:val="00823F4D"/>
    <w:rsid w:val="008252DD"/>
    <w:rsid w:val="008253A1"/>
    <w:rsid w:val="008259B5"/>
    <w:rsid w:val="00825BAA"/>
    <w:rsid w:val="00825F09"/>
    <w:rsid w:val="00826FC6"/>
    <w:rsid w:val="008279F7"/>
    <w:rsid w:val="00827A74"/>
    <w:rsid w:val="00827C68"/>
    <w:rsid w:val="00827F02"/>
    <w:rsid w:val="00833511"/>
    <w:rsid w:val="00833D12"/>
    <w:rsid w:val="00834661"/>
    <w:rsid w:val="008350CA"/>
    <w:rsid w:val="00837153"/>
    <w:rsid w:val="00837467"/>
    <w:rsid w:val="00844994"/>
    <w:rsid w:val="00844E06"/>
    <w:rsid w:val="0084708F"/>
    <w:rsid w:val="00850BBC"/>
    <w:rsid w:val="00850F7E"/>
    <w:rsid w:val="00853BD7"/>
    <w:rsid w:val="0085797B"/>
    <w:rsid w:val="00860B42"/>
    <w:rsid w:val="00860D0C"/>
    <w:rsid w:val="00861430"/>
    <w:rsid w:val="0086246B"/>
    <w:rsid w:val="00862716"/>
    <w:rsid w:val="00862862"/>
    <w:rsid w:val="00863ADF"/>
    <w:rsid w:val="00866D2C"/>
    <w:rsid w:val="00866DE0"/>
    <w:rsid w:val="00874F2E"/>
    <w:rsid w:val="008762F6"/>
    <w:rsid w:val="0087669A"/>
    <w:rsid w:val="0087682C"/>
    <w:rsid w:val="00877BC9"/>
    <w:rsid w:val="00877DE8"/>
    <w:rsid w:val="00877F49"/>
    <w:rsid w:val="00882AF5"/>
    <w:rsid w:val="00882E08"/>
    <w:rsid w:val="008836BE"/>
    <w:rsid w:val="0088378C"/>
    <w:rsid w:val="008857FA"/>
    <w:rsid w:val="00885DDA"/>
    <w:rsid w:val="00887552"/>
    <w:rsid w:val="008879C0"/>
    <w:rsid w:val="00887E6A"/>
    <w:rsid w:val="00890649"/>
    <w:rsid w:val="00892F8E"/>
    <w:rsid w:val="00893811"/>
    <w:rsid w:val="00893917"/>
    <w:rsid w:val="008946C1"/>
    <w:rsid w:val="00894D9F"/>
    <w:rsid w:val="00895028"/>
    <w:rsid w:val="00895D4B"/>
    <w:rsid w:val="00896A19"/>
    <w:rsid w:val="008A0D28"/>
    <w:rsid w:val="008A0F32"/>
    <w:rsid w:val="008A20AE"/>
    <w:rsid w:val="008A261B"/>
    <w:rsid w:val="008A2962"/>
    <w:rsid w:val="008A36E0"/>
    <w:rsid w:val="008A3A48"/>
    <w:rsid w:val="008A4FB3"/>
    <w:rsid w:val="008A5892"/>
    <w:rsid w:val="008B0410"/>
    <w:rsid w:val="008B08A2"/>
    <w:rsid w:val="008B0A5B"/>
    <w:rsid w:val="008B0F78"/>
    <w:rsid w:val="008B10A9"/>
    <w:rsid w:val="008B24F6"/>
    <w:rsid w:val="008B25DE"/>
    <w:rsid w:val="008B3C01"/>
    <w:rsid w:val="008B5E46"/>
    <w:rsid w:val="008B6D7A"/>
    <w:rsid w:val="008B7562"/>
    <w:rsid w:val="008B7F37"/>
    <w:rsid w:val="008C013E"/>
    <w:rsid w:val="008C0353"/>
    <w:rsid w:val="008C1217"/>
    <w:rsid w:val="008C2AA9"/>
    <w:rsid w:val="008C313F"/>
    <w:rsid w:val="008C4CDA"/>
    <w:rsid w:val="008C4FD6"/>
    <w:rsid w:val="008C7667"/>
    <w:rsid w:val="008C7DAC"/>
    <w:rsid w:val="008D065B"/>
    <w:rsid w:val="008D1480"/>
    <w:rsid w:val="008D1DBC"/>
    <w:rsid w:val="008D2EB8"/>
    <w:rsid w:val="008D30AF"/>
    <w:rsid w:val="008D41F3"/>
    <w:rsid w:val="008D4539"/>
    <w:rsid w:val="008D6B08"/>
    <w:rsid w:val="008D6EC1"/>
    <w:rsid w:val="008D7122"/>
    <w:rsid w:val="008E0470"/>
    <w:rsid w:val="008E07AA"/>
    <w:rsid w:val="008E0C9F"/>
    <w:rsid w:val="008E1A18"/>
    <w:rsid w:val="008E427E"/>
    <w:rsid w:val="008E50DB"/>
    <w:rsid w:val="008E5657"/>
    <w:rsid w:val="008E5EB8"/>
    <w:rsid w:val="008E711F"/>
    <w:rsid w:val="008E7B91"/>
    <w:rsid w:val="008F048F"/>
    <w:rsid w:val="008F0562"/>
    <w:rsid w:val="008F0F40"/>
    <w:rsid w:val="008F14CB"/>
    <w:rsid w:val="008F2949"/>
    <w:rsid w:val="008F32A0"/>
    <w:rsid w:val="008F3C9F"/>
    <w:rsid w:val="008F5209"/>
    <w:rsid w:val="008F7DC0"/>
    <w:rsid w:val="0090136C"/>
    <w:rsid w:val="00901590"/>
    <w:rsid w:val="00901784"/>
    <w:rsid w:val="00901D4C"/>
    <w:rsid w:val="0090219D"/>
    <w:rsid w:val="00905DCB"/>
    <w:rsid w:val="0090672A"/>
    <w:rsid w:val="00907A41"/>
    <w:rsid w:val="00910946"/>
    <w:rsid w:val="00911784"/>
    <w:rsid w:val="00912BDE"/>
    <w:rsid w:val="00912F62"/>
    <w:rsid w:val="0091393D"/>
    <w:rsid w:val="00913D2D"/>
    <w:rsid w:val="00914D46"/>
    <w:rsid w:val="00916623"/>
    <w:rsid w:val="0091782C"/>
    <w:rsid w:val="0092048B"/>
    <w:rsid w:val="00920688"/>
    <w:rsid w:val="00920909"/>
    <w:rsid w:val="00921681"/>
    <w:rsid w:val="00922E57"/>
    <w:rsid w:val="00923120"/>
    <w:rsid w:val="00923366"/>
    <w:rsid w:val="0092510A"/>
    <w:rsid w:val="00925AC9"/>
    <w:rsid w:val="00927BF5"/>
    <w:rsid w:val="00927E5C"/>
    <w:rsid w:val="00931903"/>
    <w:rsid w:val="009319FC"/>
    <w:rsid w:val="009321F0"/>
    <w:rsid w:val="0093343B"/>
    <w:rsid w:val="009335B9"/>
    <w:rsid w:val="00934B80"/>
    <w:rsid w:val="00936D24"/>
    <w:rsid w:val="00941939"/>
    <w:rsid w:val="00943D78"/>
    <w:rsid w:val="00944C60"/>
    <w:rsid w:val="00945A65"/>
    <w:rsid w:val="009464D9"/>
    <w:rsid w:val="0094722C"/>
    <w:rsid w:val="009508EF"/>
    <w:rsid w:val="00951D11"/>
    <w:rsid w:val="00952946"/>
    <w:rsid w:val="00952DE2"/>
    <w:rsid w:val="00953052"/>
    <w:rsid w:val="00953DA7"/>
    <w:rsid w:val="0095478E"/>
    <w:rsid w:val="009548D3"/>
    <w:rsid w:val="0095651F"/>
    <w:rsid w:val="0095773C"/>
    <w:rsid w:val="00957997"/>
    <w:rsid w:val="0096044F"/>
    <w:rsid w:val="00961A40"/>
    <w:rsid w:val="00964454"/>
    <w:rsid w:val="00964A31"/>
    <w:rsid w:val="00965754"/>
    <w:rsid w:val="00965937"/>
    <w:rsid w:val="009664B7"/>
    <w:rsid w:val="009702E7"/>
    <w:rsid w:val="009724A1"/>
    <w:rsid w:val="00972E0C"/>
    <w:rsid w:val="009741A7"/>
    <w:rsid w:val="00976ED0"/>
    <w:rsid w:val="00977AC1"/>
    <w:rsid w:val="009807A5"/>
    <w:rsid w:val="0098180A"/>
    <w:rsid w:val="009819F3"/>
    <w:rsid w:val="00985A92"/>
    <w:rsid w:val="00986F37"/>
    <w:rsid w:val="009879EA"/>
    <w:rsid w:val="00987FC3"/>
    <w:rsid w:val="009903BB"/>
    <w:rsid w:val="00990CCA"/>
    <w:rsid w:val="009912CA"/>
    <w:rsid w:val="009913C3"/>
    <w:rsid w:val="00991F19"/>
    <w:rsid w:val="0099268F"/>
    <w:rsid w:val="00994ADD"/>
    <w:rsid w:val="009961F2"/>
    <w:rsid w:val="00996416"/>
    <w:rsid w:val="009971D2"/>
    <w:rsid w:val="00997894"/>
    <w:rsid w:val="009A09BF"/>
    <w:rsid w:val="009A14F7"/>
    <w:rsid w:val="009A2DCB"/>
    <w:rsid w:val="009A35B5"/>
    <w:rsid w:val="009A4121"/>
    <w:rsid w:val="009A486D"/>
    <w:rsid w:val="009A4FFD"/>
    <w:rsid w:val="009A5B60"/>
    <w:rsid w:val="009A602F"/>
    <w:rsid w:val="009A6840"/>
    <w:rsid w:val="009A7E1F"/>
    <w:rsid w:val="009B2416"/>
    <w:rsid w:val="009B3109"/>
    <w:rsid w:val="009B33A9"/>
    <w:rsid w:val="009B370F"/>
    <w:rsid w:val="009B4D52"/>
    <w:rsid w:val="009B5E72"/>
    <w:rsid w:val="009B621D"/>
    <w:rsid w:val="009C0C02"/>
    <w:rsid w:val="009C16E8"/>
    <w:rsid w:val="009C2FFF"/>
    <w:rsid w:val="009D1425"/>
    <w:rsid w:val="009D2623"/>
    <w:rsid w:val="009D3867"/>
    <w:rsid w:val="009D496D"/>
    <w:rsid w:val="009D5468"/>
    <w:rsid w:val="009D7E08"/>
    <w:rsid w:val="009E2387"/>
    <w:rsid w:val="009E30FC"/>
    <w:rsid w:val="009E343B"/>
    <w:rsid w:val="009E3440"/>
    <w:rsid w:val="009E3D48"/>
    <w:rsid w:val="009E76ED"/>
    <w:rsid w:val="009F0E07"/>
    <w:rsid w:val="009F0EB6"/>
    <w:rsid w:val="009F369E"/>
    <w:rsid w:val="009F3870"/>
    <w:rsid w:val="009F45D5"/>
    <w:rsid w:val="009F6406"/>
    <w:rsid w:val="009F6558"/>
    <w:rsid w:val="009F65D6"/>
    <w:rsid w:val="009F65DC"/>
    <w:rsid w:val="009F6821"/>
    <w:rsid w:val="009F6B1A"/>
    <w:rsid w:val="00A01117"/>
    <w:rsid w:val="00A03595"/>
    <w:rsid w:val="00A05DB4"/>
    <w:rsid w:val="00A10A1B"/>
    <w:rsid w:val="00A10EBC"/>
    <w:rsid w:val="00A11344"/>
    <w:rsid w:val="00A11950"/>
    <w:rsid w:val="00A11C35"/>
    <w:rsid w:val="00A126BD"/>
    <w:rsid w:val="00A1365A"/>
    <w:rsid w:val="00A13B10"/>
    <w:rsid w:val="00A14F2D"/>
    <w:rsid w:val="00A17932"/>
    <w:rsid w:val="00A20905"/>
    <w:rsid w:val="00A21D5E"/>
    <w:rsid w:val="00A22AB5"/>
    <w:rsid w:val="00A23050"/>
    <w:rsid w:val="00A2403A"/>
    <w:rsid w:val="00A24E8C"/>
    <w:rsid w:val="00A24EA4"/>
    <w:rsid w:val="00A26539"/>
    <w:rsid w:val="00A30821"/>
    <w:rsid w:val="00A31066"/>
    <w:rsid w:val="00A313D4"/>
    <w:rsid w:val="00A31627"/>
    <w:rsid w:val="00A31EF4"/>
    <w:rsid w:val="00A33D79"/>
    <w:rsid w:val="00A34FB3"/>
    <w:rsid w:val="00A357E0"/>
    <w:rsid w:val="00A367E1"/>
    <w:rsid w:val="00A36BCF"/>
    <w:rsid w:val="00A36DC1"/>
    <w:rsid w:val="00A40381"/>
    <w:rsid w:val="00A41117"/>
    <w:rsid w:val="00A41A68"/>
    <w:rsid w:val="00A429FD"/>
    <w:rsid w:val="00A42CAB"/>
    <w:rsid w:val="00A42DAD"/>
    <w:rsid w:val="00A43851"/>
    <w:rsid w:val="00A44AD3"/>
    <w:rsid w:val="00A45496"/>
    <w:rsid w:val="00A46B38"/>
    <w:rsid w:val="00A46C1A"/>
    <w:rsid w:val="00A506E6"/>
    <w:rsid w:val="00A50B12"/>
    <w:rsid w:val="00A51713"/>
    <w:rsid w:val="00A52BA4"/>
    <w:rsid w:val="00A544D5"/>
    <w:rsid w:val="00A54ED2"/>
    <w:rsid w:val="00A5558E"/>
    <w:rsid w:val="00A55B2A"/>
    <w:rsid w:val="00A57655"/>
    <w:rsid w:val="00A57F0B"/>
    <w:rsid w:val="00A61406"/>
    <w:rsid w:val="00A625AE"/>
    <w:rsid w:val="00A64854"/>
    <w:rsid w:val="00A65314"/>
    <w:rsid w:val="00A6777C"/>
    <w:rsid w:val="00A717C5"/>
    <w:rsid w:val="00A718E0"/>
    <w:rsid w:val="00A71AA8"/>
    <w:rsid w:val="00A71CF2"/>
    <w:rsid w:val="00A72785"/>
    <w:rsid w:val="00A7325B"/>
    <w:rsid w:val="00A73F74"/>
    <w:rsid w:val="00A7407F"/>
    <w:rsid w:val="00A741B6"/>
    <w:rsid w:val="00A74412"/>
    <w:rsid w:val="00A74BD2"/>
    <w:rsid w:val="00A77E59"/>
    <w:rsid w:val="00A803CE"/>
    <w:rsid w:val="00A80E8D"/>
    <w:rsid w:val="00A82FED"/>
    <w:rsid w:val="00A847D1"/>
    <w:rsid w:val="00A84B2D"/>
    <w:rsid w:val="00A85548"/>
    <w:rsid w:val="00A86B3D"/>
    <w:rsid w:val="00A8786D"/>
    <w:rsid w:val="00A9296B"/>
    <w:rsid w:val="00A92F99"/>
    <w:rsid w:val="00A93135"/>
    <w:rsid w:val="00A953C4"/>
    <w:rsid w:val="00A966EC"/>
    <w:rsid w:val="00A9729B"/>
    <w:rsid w:val="00A97E58"/>
    <w:rsid w:val="00AA0297"/>
    <w:rsid w:val="00AA0D6C"/>
    <w:rsid w:val="00AA173E"/>
    <w:rsid w:val="00AA1E41"/>
    <w:rsid w:val="00AA4C7A"/>
    <w:rsid w:val="00AA59DD"/>
    <w:rsid w:val="00AA6066"/>
    <w:rsid w:val="00AA63E0"/>
    <w:rsid w:val="00AB1513"/>
    <w:rsid w:val="00AB1CC1"/>
    <w:rsid w:val="00AB1F29"/>
    <w:rsid w:val="00AB30BA"/>
    <w:rsid w:val="00AB500E"/>
    <w:rsid w:val="00AB5250"/>
    <w:rsid w:val="00AB5A69"/>
    <w:rsid w:val="00AC07FF"/>
    <w:rsid w:val="00AC157E"/>
    <w:rsid w:val="00AC1E58"/>
    <w:rsid w:val="00AC31FD"/>
    <w:rsid w:val="00AC5B63"/>
    <w:rsid w:val="00AC6BB2"/>
    <w:rsid w:val="00AC7041"/>
    <w:rsid w:val="00AD0C86"/>
    <w:rsid w:val="00AD2338"/>
    <w:rsid w:val="00AD2F6F"/>
    <w:rsid w:val="00AD305D"/>
    <w:rsid w:val="00AD3484"/>
    <w:rsid w:val="00AD3815"/>
    <w:rsid w:val="00AD6E68"/>
    <w:rsid w:val="00AD7368"/>
    <w:rsid w:val="00AE0AF3"/>
    <w:rsid w:val="00AE15D1"/>
    <w:rsid w:val="00AE1619"/>
    <w:rsid w:val="00AE4F6F"/>
    <w:rsid w:val="00AE5D85"/>
    <w:rsid w:val="00AE6633"/>
    <w:rsid w:val="00AE7071"/>
    <w:rsid w:val="00AF0BE9"/>
    <w:rsid w:val="00AF1A6B"/>
    <w:rsid w:val="00AF238E"/>
    <w:rsid w:val="00AF4716"/>
    <w:rsid w:val="00AF5214"/>
    <w:rsid w:val="00AF526D"/>
    <w:rsid w:val="00AF6D5E"/>
    <w:rsid w:val="00AF712D"/>
    <w:rsid w:val="00AF758B"/>
    <w:rsid w:val="00B0069E"/>
    <w:rsid w:val="00B025EC"/>
    <w:rsid w:val="00B04E84"/>
    <w:rsid w:val="00B065BD"/>
    <w:rsid w:val="00B10655"/>
    <w:rsid w:val="00B11B81"/>
    <w:rsid w:val="00B12487"/>
    <w:rsid w:val="00B134BF"/>
    <w:rsid w:val="00B143A0"/>
    <w:rsid w:val="00B14DF8"/>
    <w:rsid w:val="00B1576C"/>
    <w:rsid w:val="00B20401"/>
    <w:rsid w:val="00B21AC3"/>
    <w:rsid w:val="00B2261C"/>
    <w:rsid w:val="00B22EB7"/>
    <w:rsid w:val="00B22F27"/>
    <w:rsid w:val="00B23284"/>
    <w:rsid w:val="00B24157"/>
    <w:rsid w:val="00B24394"/>
    <w:rsid w:val="00B2447B"/>
    <w:rsid w:val="00B2462F"/>
    <w:rsid w:val="00B24812"/>
    <w:rsid w:val="00B260FD"/>
    <w:rsid w:val="00B2657E"/>
    <w:rsid w:val="00B27B55"/>
    <w:rsid w:val="00B31375"/>
    <w:rsid w:val="00B32FBC"/>
    <w:rsid w:val="00B346F6"/>
    <w:rsid w:val="00B348FB"/>
    <w:rsid w:val="00B3504C"/>
    <w:rsid w:val="00B35E18"/>
    <w:rsid w:val="00B36B1D"/>
    <w:rsid w:val="00B40022"/>
    <w:rsid w:val="00B41AE1"/>
    <w:rsid w:val="00B423BF"/>
    <w:rsid w:val="00B43439"/>
    <w:rsid w:val="00B44DBE"/>
    <w:rsid w:val="00B4701D"/>
    <w:rsid w:val="00B47BEA"/>
    <w:rsid w:val="00B50B68"/>
    <w:rsid w:val="00B5102B"/>
    <w:rsid w:val="00B51866"/>
    <w:rsid w:val="00B51FDA"/>
    <w:rsid w:val="00B54815"/>
    <w:rsid w:val="00B54D7E"/>
    <w:rsid w:val="00B5693C"/>
    <w:rsid w:val="00B57494"/>
    <w:rsid w:val="00B57ADC"/>
    <w:rsid w:val="00B6038F"/>
    <w:rsid w:val="00B62AFB"/>
    <w:rsid w:val="00B62E61"/>
    <w:rsid w:val="00B6418F"/>
    <w:rsid w:val="00B641FB"/>
    <w:rsid w:val="00B64D96"/>
    <w:rsid w:val="00B6606A"/>
    <w:rsid w:val="00B66AD2"/>
    <w:rsid w:val="00B670B5"/>
    <w:rsid w:val="00B70018"/>
    <w:rsid w:val="00B70D3A"/>
    <w:rsid w:val="00B74E10"/>
    <w:rsid w:val="00B81FC0"/>
    <w:rsid w:val="00B83783"/>
    <w:rsid w:val="00B848A0"/>
    <w:rsid w:val="00B852B3"/>
    <w:rsid w:val="00B86C18"/>
    <w:rsid w:val="00B87B61"/>
    <w:rsid w:val="00B90271"/>
    <w:rsid w:val="00B9037E"/>
    <w:rsid w:val="00B907DA"/>
    <w:rsid w:val="00B90D63"/>
    <w:rsid w:val="00B910C2"/>
    <w:rsid w:val="00B91358"/>
    <w:rsid w:val="00B9291C"/>
    <w:rsid w:val="00B92EAA"/>
    <w:rsid w:val="00B93579"/>
    <w:rsid w:val="00B9372B"/>
    <w:rsid w:val="00B951CD"/>
    <w:rsid w:val="00B95F11"/>
    <w:rsid w:val="00B977C7"/>
    <w:rsid w:val="00B97CA8"/>
    <w:rsid w:val="00BA3021"/>
    <w:rsid w:val="00BA3301"/>
    <w:rsid w:val="00BA3AB4"/>
    <w:rsid w:val="00BA40F8"/>
    <w:rsid w:val="00BA5A0C"/>
    <w:rsid w:val="00BA616D"/>
    <w:rsid w:val="00BA7E69"/>
    <w:rsid w:val="00BB084B"/>
    <w:rsid w:val="00BB3F88"/>
    <w:rsid w:val="00BB41C0"/>
    <w:rsid w:val="00BB477E"/>
    <w:rsid w:val="00BB5B42"/>
    <w:rsid w:val="00BB5C0D"/>
    <w:rsid w:val="00BB65F6"/>
    <w:rsid w:val="00BC1C72"/>
    <w:rsid w:val="00BC2695"/>
    <w:rsid w:val="00BC2DE8"/>
    <w:rsid w:val="00BC4104"/>
    <w:rsid w:val="00BC4FFA"/>
    <w:rsid w:val="00BC5D55"/>
    <w:rsid w:val="00BC7C90"/>
    <w:rsid w:val="00BD27B7"/>
    <w:rsid w:val="00BD2B69"/>
    <w:rsid w:val="00BD32F4"/>
    <w:rsid w:val="00BD333F"/>
    <w:rsid w:val="00BD3B4C"/>
    <w:rsid w:val="00BD4477"/>
    <w:rsid w:val="00BD4E69"/>
    <w:rsid w:val="00BD75E4"/>
    <w:rsid w:val="00BE2008"/>
    <w:rsid w:val="00BE212B"/>
    <w:rsid w:val="00BE28F6"/>
    <w:rsid w:val="00BE2A33"/>
    <w:rsid w:val="00BE3637"/>
    <w:rsid w:val="00BE3816"/>
    <w:rsid w:val="00BE4C3F"/>
    <w:rsid w:val="00BE6754"/>
    <w:rsid w:val="00BE6C59"/>
    <w:rsid w:val="00BE71DA"/>
    <w:rsid w:val="00BE7C44"/>
    <w:rsid w:val="00BF1483"/>
    <w:rsid w:val="00BF3D4B"/>
    <w:rsid w:val="00BF3F23"/>
    <w:rsid w:val="00BF429E"/>
    <w:rsid w:val="00BF56E8"/>
    <w:rsid w:val="00BF68B8"/>
    <w:rsid w:val="00BF69CD"/>
    <w:rsid w:val="00BF7260"/>
    <w:rsid w:val="00C011E5"/>
    <w:rsid w:val="00C01223"/>
    <w:rsid w:val="00C014DC"/>
    <w:rsid w:val="00C025AE"/>
    <w:rsid w:val="00C02ACB"/>
    <w:rsid w:val="00C07573"/>
    <w:rsid w:val="00C07C45"/>
    <w:rsid w:val="00C10A0A"/>
    <w:rsid w:val="00C13DE7"/>
    <w:rsid w:val="00C142BB"/>
    <w:rsid w:val="00C1551E"/>
    <w:rsid w:val="00C17CEC"/>
    <w:rsid w:val="00C205BD"/>
    <w:rsid w:val="00C207F8"/>
    <w:rsid w:val="00C219A5"/>
    <w:rsid w:val="00C21F68"/>
    <w:rsid w:val="00C22F21"/>
    <w:rsid w:val="00C23215"/>
    <w:rsid w:val="00C239F3"/>
    <w:rsid w:val="00C2427E"/>
    <w:rsid w:val="00C26856"/>
    <w:rsid w:val="00C26A4D"/>
    <w:rsid w:val="00C26CC8"/>
    <w:rsid w:val="00C307F0"/>
    <w:rsid w:val="00C31196"/>
    <w:rsid w:val="00C313BF"/>
    <w:rsid w:val="00C32562"/>
    <w:rsid w:val="00C34145"/>
    <w:rsid w:val="00C34598"/>
    <w:rsid w:val="00C34DF7"/>
    <w:rsid w:val="00C35DE8"/>
    <w:rsid w:val="00C40F76"/>
    <w:rsid w:val="00C40FF1"/>
    <w:rsid w:val="00C45E48"/>
    <w:rsid w:val="00C5130A"/>
    <w:rsid w:val="00C53956"/>
    <w:rsid w:val="00C54360"/>
    <w:rsid w:val="00C544B4"/>
    <w:rsid w:val="00C55A00"/>
    <w:rsid w:val="00C565C6"/>
    <w:rsid w:val="00C566CD"/>
    <w:rsid w:val="00C56D69"/>
    <w:rsid w:val="00C5724E"/>
    <w:rsid w:val="00C573C3"/>
    <w:rsid w:val="00C61903"/>
    <w:rsid w:val="00C61ED8"/>
    <w:rsid w:val="00C63A39"/>
    <w:rsid w:val="00C6436B"/>
    <w:rsid w:val="00C64760"/>
    <w:rsid w:val="00C6655F"/>
    <w:rsid w:val="00C665DA"/>
    <w:rsid w:val="00C67E6B"/>
    <w:rsid w:val="00C700F3"/>
    <w:rsid w:val="00C70A6E"/>
    <w:rsid w:val="00C70BDB"/>
    <w:rsid w:val="00C70F67"/>
    <w:rsid w:val="00C721F5"/>
    <w:rsid w:val="00C72253"/>
    <w:rsid w:val="00C73389"/>
    <w:rsid w:val="00C7347C"/>
    <w:rsid w:val="00C74AA3"/>
    <w:rsid w:val="00C75699"/>
    <w:rsid w:val="00C77734"/>
    <w:rsid w:val="00C80CFC"/>
    <w:rsid w:val="00C814EC"/>
    <w:rsid w:val="00C81BA0"/>
    <w:rsid w:val="00C83295"/>
    <w:rsid w:val="00C83329"/>
    <w:rsid w:val="00C837A4"/>
    <w:rsid w:val="00C85139"/>
    <w:rsid w:val="00C85370"/>
    <w:rsid w:val="00C86059"/>
    <w:rsid w:val="00C87029"/>
    <w:rsid w:val="00C87340"/>
    <w:rsid w:val="00C91784"/>
    <w:rsid w:val="00C9278D"/>
    <w:rsid w:val="00C92D31"/>
    <w:rsid w:val="00C9408B"/>
    <w:rsid w:val="00C9410D"/>
    <w:rsid w:val="00C94449"/>
    <w:rsid w:val="00C94A6B"/>
    <w:rsid w:val="00C94B89"/>
    <w:rsid w:val="00C951F9"/>
    <w:rsid w:val="00C95B3C"/>
    <w:rsid w:val="00C95FE7"/>
    <w:rsid w:val="00C964A8"/>
    <w:rsid w:val="00C96D4E"/>
    <w:rsid w:val="00C97F9A"/>
    <w:rsid w:val="00CA0A54"/>
    <w:rsid w:val="00CA0C07"/>
    <w:rsid w:val="00CA15C3"/>
    <w:rsid w:val="00CA318F"/>
    <w:rsid w:val="00CA3411"/>
    <w:rsid w:val="00CA55B8"/>
    <w:rsid w:val="00CA795B"/>
    <w:rsid w:val="00CA7C9C"/>
    <w:rsid w:val="00CB05C3"/>
    <w:rsid w:val="00CB0CD8"/>
    <w:rsid w:val="00CB17D8"/>
    <w:rsid w:val="00CB5979"/>
    <w:rsid w:val="00CC0C78"/>
    <w:rsid w:val="00CC24CC"/>
    <w:rsid w:val="00CC3490"/>
    <w:rsid w:val="00CC3B20"/>
    <w:rsid w:val="00CC4297"/>
    <w:rsid w:val="00CC46B3"/>
    <w:rsid w:val="00CC7238"/>
    <w:rsid w:val="00CC7A21"/>
    <w:rsid w:val="00CD040A"/>
    <w:rsid w:val="00CD2DDF"/>
    <w:rsid w:val="00CD3456"/>
    <w:rsid w:val="00CD6350"/>
    <w:rsid w:val="00CE18F6"/>
    <w:rsid w:val="00CE3620"/>
    <w:rsid w:val="00CE3EF1"/>
    <w:rsid w:val="00CE43FF"/>
    <w:rsid w:val="00CE4E1B"/>
    <w:rsid w:val="00CE52D7"/>
    <w:rsid w:val="00CE59AF"/>
    <w:rsid w:val="00CE7076"/>
    <w:rsid w:val="00CF04D9"/>
    <w:rsid w:val="00CF131C"/>
    <w:rsid w:val="00CF155B"/>
    <w:rsid w:val="00CF2B78"/>
    <w:rsid w:val="00CF3BD5"/>
    <w:rsid w:val="00CF44C9"/>
    <w:rsid w:val="00CF5D0F"/>
    <w:rsid w:val="00CF70FA"/>
    <w:rsid w:val="00CF7A73"/>
    <w:rsid w:val="00D005A0"/>
    <w:rsid w:val="00D043DB"/>
    <w:rsid w:val="00D04700"/>
    <w:rsid w:val="00D06242"/>
    <w:rsid w:val="00D06442"/>
    <w:rsid w:val="00D0693A"/>
    <w:rsid w:val="00D078EF"/>
    <w:rsid w:val="00D07C33"/>
    <w:rsid w:val="00D100D2"/>
    <w:rsid w:val="00D109B1"/>
    <w:rsid w:val="00D11A4C"/>
    <w:rsid w:val="00D11EDB"/>
    <w:rsid w:val="00D12214"/>
    <w:rsid w:val="00D12CD2"/>
    <w:rsid w:val="00D13ED8"/>
    <w:rsid w:val="00D13FA1"/>
    <w:rsid w:val="00D166C6"/>
    <w:rsid w:val="00D173F9"/>
    <w:rsid w:val="00D17D7B"/>
    <w:rsid w:val="00D20915"/>
    <w:rsid w:val="00D2195D"/>
    <w:rsid w:val="00D22FD2"/>
    <w:rsid w:val="00D231FD"/>
    <w:rsid w:val="00D2328F"/>
    <w:rsid w:val="00D233A8"/>
    <w:rsid w:val="00D23792"/>
    <w:rsid w:val="00D242B7"/>
    <w:rsid w:val="00D27A4B"/>
    <w:rsid w:val="00D30590"/>
    <w:rsid w:val="00D3075F"/>
    <w:rsid w:val="00D318B1"/>
    <w:rsid w:val="00D31E17"/>
    <w:rsid w:val="00D32A80"/>
    <w:rsid w:val="00D33C87"/>
    <w:rsid w:val="00D351F6"/>
    <w:rsid w:val="00D356EB"/>
    <w:rsid w:val="00D361AE"/>
    <w:rsid w:val="00D370DE"/>
    <w:rsid w:val="00D4057C"/>
    <w:rsid w:val="00D410D9"/>
    <w:rsid w:val="00D417E5"/>
    <w:rsid w:val="00D42FF9"/>
    <w:rsid w:val="00D4328F"/>
    <w:rsid w:val="00D4342B"/>
    <w:rsid w:val="00D4391D"/>
    <w:rsid w:val="00D45ED5"/>
    <w:rsid w:val="00D46068"/>
    <w:rsid w:val="00D4623D"/>
    <w:rsid w:val="00D4776F"/>
    <w:rsid w:val="00D477B2"/>
    <w:rsid w:val="00D47E67"/>
    <w:rsid w:val="00D5024A"/>
    <w:rsid w:val="00D50FE9"/>
    <w:rsid w:val="00D5151B"/>
    <w:rsid w:val="00D51971"/>
    <w:rsid w:val="00D51989"/>
    <w:rsid w:val="00D51A7C"/>
    <w:rsid w:val="00D52437"/>
    <w:rsid w:val="00D53182"/>
    <w:rsid w:val="00D53B20"/>
    <w:rsid w:val="00D564C0"/>
    <w:rsid w:val="00D57FAD"/>
    <w:rsid w:val="00D61B99"/>
    <w:rsid w:val="00D61BE2"/>
    <w:rsid w:val="00D61E80"/>
    <w:rsid w:val="00D62B07"/>
    <w:rsid w:val="00D631A0"/>
    <w:rsid w:val="00D635A5"/>
    <w:rsid w:val="00D6533E"/>
    <w:rsid w:val="00D70F65"/>
    <w:rsid w:val="00D712B7"/>
    <w:rsid w:val="00D722E8"/>
    <w:rsid w:val="00D724C4"/>
    <w:rsid w:val="00D72741"/>
    <w:rsid w:val="00D741A4"/>
    <w:rsid w:val="00D75222"/>
    <w:rsid w:val="00D76477"/>
    <w:rsid w:val="00D772E2"/>
    <w:rsid w:val="00D7777D"/>
    <w:rsid w:val="00D77986"/>
    <w:rsid w:val="00D77BDC"/>
    <w:rsid w:val="00D77E3C"/>
    <w:rsid w:val="00D81488"/>
    <w:rsid w:val="00D8351C"/>
    <w:rsid w:val="00D83D15"/>
    <w:rsid w:val="00D879B7"/>
    <w:rsid w:val="00D87C17"/>
    <w:rsid w:val="00D905E2"/>
    <w:rsid w:val="00D906D2"/>
    <w:rsid w:val="00D92D1E"/>
    <w:rsid w:val="00D92EF8"/>
    <w:rsid w:val="00D93D76"/>
    <w:rsid w:val="00D94245"/>
    <w:rsid w:val="00D9672C"/>
    <w:rsid w:val="00D96F5B"/>
    <w:rsid w:val="00DA1CB9"/>
    <w:rsid w:val="00DA554B"/>
    <w:rsid w:val="00DB0799"/>
    <w:rsid w:val="00DB242E"/>
    <w:rsid w:val="00DB2D77"/>
    <w:rsid w:val="00DB4645"/>
    <w:rsid w:val="00DB4C92"/>
    <w:rsid w:val="00DB71A0"/>
    <w:rsid w:val="00DB74BA"/>
    <w:rsid w:val="00DC1740"/>
    <w:rsid w:val="00DC269B"/>
    <w:rsid w:val="00DC26A7"/>
    <w:rsid w:val="00DC3160"/>
    <w:rsid w:val="00DC393B"/>
    <w:rsid w:val="00DC5272"/>
    <w:rsid w:val="00DC5C6D"/>
    <w:rsid w:val="00DC5F41"/>
    <w:rsid w:val="00DC5F87"/>
    <w:rsid w:val="00DC7788"/>
    <w:rsid w:val="00DD0A9F"/>
    <w:rsid w:val="00DD106D"/>
    <w:rsid w:val="00DD1461"/>
    <w:rsid w:val="00DD152C"/>
    <w:rsid w:val="00DD1B27"/>
    <w:rsid w:val="00DD25C8"/>
    <w:rsid w:val="00DD31AC"/>
    <w:rsid w:val="00DD37C9"/>
    <w:rsid w:val="00DD465D"/>
    <w:rsid w:val="00DD5A06"/>
    <w:rsid w:val="00DD5CBE"/>
    <w:rsid w:val="00DD6361"/>
    <w:rsid w:val="00DD6BC9"/>
    <w:rsid w:val="00DD6C4D"/>
    <w:rsid w:val="00DD7148"/>
    <w:rsid w:val="00DD71FE"/>
    <w:rsid w:val="00DD7D9D"/>
    <w:rsid w:val="00DE098C"/>
    <w:rsid w:val="00DE0B88"/>
    <w:rsid w:val="00DE1353"/>
    <w:rsid w:val="00DE38F6"/>
    <w:rsid w:val="00DE4480"/>
    <w:rsid w:val="00DE590D"/>
    <w:rsid w:val="00DE65ED"/>
    <w:rsid w:val="00DE6EB3"/>
    <w:rsid w:val="00DF22B0"/>
    <w:rsid w:val="00DF25AC"/>
    <w:rsid w:val="00DF5E41"/>
    <w:rsid w:val="00DF6E7B"/>
    <w:rsid w:val="00DF7FF8"/>
    <w:rsid w:val="00E01577"/>
    <w:rsid w:val="00E02CF0"/>
    <w:rsid w:val="00E035EA"/>
    <w:rsid w:val="00E036E3"/>
    <w:rsid w:val="00E10564"/>
    <w:rsid w:val="00E114AD"/>
    <w:rsid w:val="00E135CC"/>
    <w:rsid w:val="00E13AAF"/>
    <w:rsid w:val="00E13BC9"/>
    <w:rsid w:val="00E165BB"/>
    <w:rsid w:val="00E169A4"/>
    <w:rsid w:val="00E20E8D"/>
    <w:rsid w:val="00E24A30"/>
    <w:rsid w:val="00E24BBB"/>
    <w:rsid w:val="00E24E8D"/>
    <w:rsid w:val="00E24FB7"/>
    <w:rsid w:val="00E30510"/>
    <w:rsid w:val="00E30FF4"/>
    <w:rsid w:val="00E33005"/>
    <w:rsid w:val="00E3412C"/>
    <w:rsid w:val="00E351D2"/>
    <w:rsid w:val="00E3637A"/>
    <w:rsid w:val="00E37775"/>
    <w:rsid w:val="00E40CA5"/>
    <w:rsid w:val="00E41EC4"/>
    <w:rsid w:val="00E420B7"/>
    <w:rsid w:val="00E448E2"/>
    <w:rsid w:val="00E46256"/>
    <w:rsid w:val="00E477AF"/>
    <w:rsid w:val="00E47C18"/>
    <w:rsid w:val="00E50D25"/>
    <w:rsid w:val="00E51857"/>
    <w:rsid w:val="00E51EF7"/>
    <w:rsid w:val="00E5390C"/>
    <w:rsid w:val="00E53E90"/>
    <w:rsid w:val="00E549CE"/>
    <w:rsid w:val="00E54CDE"/>
    <w:rsid w:val="00E5545F"/>
    <w:rsid w:val="00E56499"/>
    <w:rsid w:val="00E57554"/>
    <w:rsid w:val="00E608DA"/>
    <w:rsid w:val="00E6167B"/>
    <w:rsid w:val="00E62A91"/>
    <w:rsid w:val="00E63BB4"/>
    <w:rsid w:val="00E711CA"/>
    <w:rsid w:val="00E7238F"/>
    <w:rsid w:val="00E73571"/>
    <w:rsid w:val="00E76B33"/>
    <w:rsid w:val="00E77850"/>
    <w:rsid w:val="00E77BBF"/>
    <w:rsid w:val="00E80B5D"/>
    <w:rsid w:val="00E80C1E"/>
    <w:rsid w:val="00E81699"/>
    <w:rsid w:val="00E819FA"/>
    <w:rsid w:val="00E859EB"/>
    <w:rsid w:val="00E87EDB"/>
    <w:rsid w:val="00E91CC3"/>
    <w:rsid w:val="00E922B1"/>
    <w:rsid w:val="00E92EA9"/>
    <w:rsid w:val="00E933B6"/>
    <w:rsid w:val="00E93B57"/>
    <w:rsid w:val="00E93EC1"/>
    <w:rsid w:val="00E94CB6"/>
    <w:rsid w:val="00E95631"/>
    <w:rsid w:val="00E95A54"/>
    <w:rsid w:val="00E95C2C"/>
    <w:rsid w:val="00E9613C"/>
    <w:rsid w:val="00E96C24"/>
    <w:rsid w:val="00EA0229"/>
    <w:rsid w:val="00EA188E"/>
    <w:rsid w:val="00EA1C47"/>
    <w:rsid w:val="00EA335A"/>
    <w:rsid w:val="00EA4775"/>
    <w:rsid w:val="00EA7FBB"/>
    <w:rsid w:val="00EB0B16"/>
    <w:rsid w:val="00EB1646"/>
    <w:rsid w:val="00EB2666"/>
    <w:rsid w:val="00EB4EF4"/>
    <w:rsid w:val="00EB75B6"/>
    <w:rsid w:val="00EB7948"/>
    <w:rsid w:val="00EC04C9"/>
    <w:rsid w:val="00EC1983"/>
    <w:rsid w:val="00EC5812"/>
    <w:rsid w:val="00ED0CDD"/>
    <w:rsid w:val="00ED1957"/>
    <w:rsid w:val="00ED31D6"/>
    <w:rsid w:val="00ED3E78"/>
    <w:rsid w:val="00ED544A"/>
    <w:rsid w:val="00ED6201"/>
    <w:rsid w:val="00ED7AC3"/>
    <w:rsid w:val="00EE0150"/>
    <w:rsid w:val="00EE1A0C"/>
    <w:rsid w:val="00EE2DAA"/>
    <w:rsid w:val="00EE4032"/>
    <w:rsid w:val="00EE4B5B"/>
    <w:rsid w:val="00EE6964"/>
    <w:rsid w:val="00EF1473"/>
    <w:rsid w:val="00EF1FDD"/>
    <w:rsid w:val="00EF23AE"/>
    <w:rsid w:val="00EF6310"/>
    <w:rsid w:val="00EF78CA"/>
    <w:rsid w:val="00F00B78"/>
    <w:rsid w:val="00F00CEE"/>
    <w:rsid w:val="00F02DA6"/>
    <w:rsid w:val="00F02DDF"/>
    <w:rsid w:val="00F0413C"/>
    <w:rsid w:val="00F05640"/>
    <w:rsid w:val="00F071B4"/>
    <w:rsid w:val="00F07FFD"/>
    <w:rsid w:val="00F136FE"/>
    <w:rsid w:val="00F13711"/>
    <w:rsid w:val="00F14244"/>
    <w:rsid w:val="00F145D1"/>
    <w:rsid w:val="00F154A8"/>
    <w:rsid w:val="00F15C2C"/>
    <w:rsid w:val="00F17354"/>
    <w:rsid w:val="00F20B5C"/>
    <w:rsid w:val="00F219D5"/>
    <w:rsid w:val="00F21AC1"/>
    <w:rsid w:val="00F22975"/>
    <w:rsid w:val="00F23059"/>
    <w:rsid w:val="00F234F0"/>
    <w:rsid w:val="00F2497C"/>
    <w:rsid w:val="00F25377"/>
    <w:rsid w:val="00F256DA"/>
    <w:rsid w:val="00F26E40"/>
    <w:rsid w:val="00F27CD3"/>
    <w:rsid w:val="00F31A4B"/>
    <w:rsid w:val="00F31DEC"/>
    <w:rsid w:val="00F31FE1"/>
    <w:rsid w:val="00F32653"/>
    <w:rsid w:val="00F33ED2"/>
    <w:rsid w:val="00F345DE"/>
    <w:rsid w:val="00F35CC3"/>
    <w:rsid w:val="00F369EB"/>
    <w:rsid w:val="00F36A26"/>
    <w:rsid w:val="00F36CBA"/>
    <w:rsid w:val="00F375D9"/>
    <w:rsid w:val="00F37A14"/>
    <w:rsid w:val="00F4032E"/>
    <w:rsid w:val="00F41F8F"/>
    <w:rsid w:val="00F42255"/>
    <w:rsid w:val="00F42EEF"/>
    <w:rsid w:val="00F463FD"/>
    <w:rsid w:val="00F47D4E"/>
    <w:rsid w:val="00F51F7D"/>
    <w:rsid w:val="00F52522"/>
    <w:rsid w:val="00F530EB"/>
    <w:rsid w:val="00F537A7"/>
    <w:rsid w:val="00F53AD5"/>
    <w:rsid w:val="00F53B56"/>
    <w:rsid w:val="00F53B8B"/>
    <w:rsid w:val="00F5446D"/>
    <w:rsid w:val="00F54880"/>
    <w:rsid w:val="00F56498"/>
    <w:rsid w:val="00F60020"/>
    <w:rsid w:val="00F642A2"/>
    <w:rsid w:val="00F64EEA"/>
    <w:rsid w:val="00F65E3F"/>
    <w:rsid w:val="00F6604E"/>
    <w:rsid w:val="00F661E1"/>
    <w:rsid w:val="00F6674F"/>
    <w:rsid w:val="00F66FB4"/>
    <w:rsid w:val="00F706FE"/>
    <w:rsid w:val="00F73A37"/>
    <w:rsid w:val="00F744C3"/>
    <w:rsid w:val="00F745D1"/>
    <w:rsid w:val="00F749A8"/>
    <w:rsid w:val="00F74DC8"/>
    <w:rsid w:val="00F756AB"/>
    <w:rsid w:val="00F76509"/>
    <w:rsid w:val="00F7686A"/>
    <w:rsid w:val="00F77533"/>
    <w:rsid w:val="00F77ED6"/>
    <w:rsid w:val="00F801B7"/>
    <w:rsid w:val="00F81470"/>
    <w:rsid w:val="00F8196A"/>
    <w:rsid w:val="00F825C1"/>
    <w:rsid w:val="00F84BE8"/>
    <w:rsid w:val="00F862A0"/>
    <w:rsid w:val="00F87903"/>
    <w:rsid w:val="00F87E2B"/>
    <w:rsid w:val="00F9081D"/>
    <w:rsid w:val="00F9135C"/>
    <w:rsid w:val="00F914F1"/>
    <w:rsid w:val="00F91755"/>
    <w:rsid w:val="00F91B1B"/>
    <w:rsid w:val="00F920CA"/>
    <w:rsid w:val="00F932B6"/>
    <w:rsid w:val="00F93D1E"/>
    <w:rsid w:val="00F94A2A"/>
    <w:rsid w:val="00F9521F"/>
    <w:rsid w:val="00F953CB"/>
    <w:rsid w:val="00F95A07"/>
    <w:rsid w:val="00F97598"/>
    <w:rsid w:val="00F97BE0"/>
    <w:rsid w:val="00F97C60"/>
    <w:rsid w:val="00F97DB7"/>
    <w:rsid w:val="00FA032F"/>
    <w:rsid w:val="00FA0421"/>
    <w:rsid w:val="00FA0A26"/>
    <w:rsid w:val="00FA141D"/>
    <w:rsid w:val="00FA23DE"/>
    <w:rsid w:val="00FA39B2"/>
    <w:rsid w:val="00FA42B6"/>
    <w:rsid w:val="00FA504E"/>
    <w:rsid w:val="00FB0204"/>
    <w:rsid w:val="00FB22A6"/>
    <w:rsid w:val="00FB2EBF"/>
    <w:rsid w:val="00FB331C"/>
    <w:rsid w:val="00FB3793"/>
    <w:rsid w:val="00FB45CB"/>
    <w:rsid w:val="00FB517B"/>
    <w:rsid w:val="00FB5381"/>
    <w:rsid w:val="00FC1B15"/>
    <w:rsid w:val="00FC2188"/>
    <w:rsid w:val="00FC3723"/>
    <w:rsid w:val="00FC3BE8"/>
    <w:rsid w:val="00FC4028"/>
    <w:rsid w:val="00FC4971"/>
    <w:rsid w:val="00FC7BB5"/>
    <w:rsid w:val="00FD040D"/>
    <w:rsid w:val="00FD1781"/>
    <w:rsid w:val="00FD1C76"/>
    <w:rsid w:val="00FD1D38"/>
    <w:rsid w:val="00FD1D3C"/>
    <w:rsid w:val="00FD3140"/>
    <w:rsid w:val="00FD38CA"/>
    <w:rsid w:val="00FD5018"/>
    <w:rsid w:val="00FD757E"/>
    <w:rsid w:val="00FE06A8"/>
    <w:rsid w:val="00FE13F7"/>
    <w:rsid w:val="00FE2933"/>
    <w:rsid w:val="00FE30E3"/>
    <w:rsid w:val="00FE3438"/>
    <w:rsid w:val="00FE4ADD"/>
    <w:rsid w:val="00FE4C20"/>
    <w:rsid w:val="00FE4EED"/>
    <w:rsid w:val="00FE58AA"/>
    <w:rsid w:val="00FE5FEE"/>
    <w:rsid w:val="00FE6993"/>
    <w:rsid w:val="00FE75D8"/>
    <w:rsid w:val="00FF04C0"/>
    <w:rsid w:val="00FF1A27"/>
    <w:rsid w:val="00FF28F5"/>
    <w:rsid w:val="00FF341B"/>
    <w:rsid w:val="00FF34EC"/>
    <w:rsid w:val="00FF4478"/>
    <w:rsid w:val="00FF4A1B"/>
    <w:rsid w:val="00FF4DED"/>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4D1"/>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5124D1"/>
    <w:pPr>
      <w:keepNext/>
      <w:jc w:val="both"/>
      <w:outlineLvl w:val="0"/>
    </w:pPr>
    <w:rPr>
      <w:rFonts w:ascii="Arial" w:hAnsi="Arial"/>
      <w:b/>
      <w:bCs/>
      <w:sz w:val="22"/>
      <w:szCs w:val="20"/>
      <w:lang w:val="en-ZA"/>
    </w:rPr>
  </w:style>
  <w:style w:type="paragraph" w:styleId="Heading2">
    <w:name w:val="heading 2"/>
    <w:basedOn w:val="Normal"/>
    <w:next w:val="Normal"/>
    <w:link w:val="Heading2Char"/>
    <w:uiPriority w:val="99"/>
    <w:qFormat/>
    <w:rsid w:val="005124D1"/>
    <w:pPr>
      <w:keepNext/>
      <w:jc w:val="center"/>
      <w:outlineLvl w:val="1"/>
    </w:pPr>
    <w:rPr>
      <w:rFonts w:ascii="Arial" w:hAnsi="Arial"/>
      <w:b/>
      <w:bCs/>
      <w:sz w:val="22"/>
      <w:szCs w:val="20"/>
      <w:lang w:val="en-ZA"/>
    </w:rPr>
  </w:style>
  <w:style w:type="paragraph" w:styleId="Heading3">
    <w:name w:val="heading 3"/>
    <w:basedOn w:val="Normal"/>
    <w:next w:val="Normal"/>
    <w:link w:val="Heading3Char"/>
    <w:uiPriority w:val="99"/>
    <w:qFormat/>
    <w:rsid w:val="005124D1"/>
    <w:pPr>
      <w:keepNext/>
      <w:spacing w:line="480" w:lineRule="auto"/>
      <w:jc w:val="both"/>
      <w:outlineLvl w:val="2"/>
    </w:pPr>
    <w:rPr>
      <w:rFonts w:ascii="Arial" w:hAnsi="Arial"/>
      <w:b/>
      <w:bCs/>
      <w:sz w:val="22"/>
      <w:szCs w:val="20"/>
      <w:u w:val="single"/>
      <w:lang w:val="en-ZA"/>
    </w:rPr>
  </w:style>
  <w:style w:type="paragraph" w:styleId="Heading4">
    <w:name w:val="heading 4"/>
    <w:basedOn w:val="Normal"/>
    <w:next w:val="Normal"/>
    <w:link w:val="Heading4Char"/>
    <w:uiPriority w:val="99"/>
    <w:unhideWhenUsed/>
    <w:qFormat/>
    <w:rsid w:val="005124D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qFormat/>
    <w:rsid w:val="00180AD1"/>
    <w:pPr>
      <w:tabs>
        <w:tab w:val="num" w:pos="3542"/>
      </w:tabs>
      <w:spacing w:before="240" w:after="240" w:line="480" w:lineRule="auto"/>
      <w:ind w:left="3542" w:hanging="3542"/>
      <w:jc w:val="both"/>
      <w:outlineLvl w:val="4"/>
    </w:pPr>
    <w:rPr>
      <w:rFonts w:cs="Arial"/>
      <w:sz w:val="28"/>
      <w:szCs w:val="28"/>
      <w:lang w:val="en-ZA"/>
    </w:rPr>
  </w:style>
  <w:style w:type="paragraph" w:styleId="Heading6">
    <w:name w:val="heading 6"/>
    <w:basedOn w:val="Normal"/>
    <w:next w:val="Normal"/>
    <w:link w:val="Heading6Char"/>
    <w:uiPriority w:val="99"/>
    <w:unhideWhenUsed/>
    <w:qFormat/>
    <w:rsid w:val="005124D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link w:val="Heading7Char"/>
    <w:uiPriority w:val="99"/>
    <w:qFormat/>
    <w:rsid w:val="00180AD1"/>
    <w:pPr>
      <w:tabs>
        <w:tab w:val="num" w:pos="4959"/>
      </w:tabs>
      <w:spacing w:before="240" w:after="60" w:line="480" w:lineRule="auto"/>
      <w:ind w:left="4959" w:hanging="708"/>
      <w:jc w:val="both"/>
      <w:outlineLvl w:val="6"/>
    </w:pPr>
    <w:rPr>
      <w:rFonts w:cs="Arial"/>
      <w:sz w:val="28"/>
      <w:szCs w:val="28"/>
      <w:lang w:val="en-ZA"/>
    </w:rPr>
  </w:style>
  <w:style w:type="paragraph" w:styleId="Heading8">
    <w:name w:val="heading 8"/>
    <w:basedOn w:val="Normal"/>
    <w:link w:val="Heading8Char"/>
    <w:uiPriority w:val="99"/>
    <w:qFormat/>
    <w:rsid w:val="00180AD1"/>
    <w:pPr>
      <w:tabs>
        <w:tab w:val="num" w:pos="5670"/>
      </w:tabs>
      <w:spacing w:before="240" w:after="240" w:line="480" w:lineRule="auto"/>
      <w:ind w:left="5670" w:hanging="709"/>
      <w:jc w:val="both"/>
      <w:outlineLvl w:val="7"/>
    </w:pPr>
    <w:rPr>
      <w:rFonts w:cs="Arial"/>
      <w:sz w:val="28"/>
      <w:szCs w:val="28"/>
      <w:lang w:val="en-ZA"/>
    </w:rPr>
  </w:style>
  <w:style w:type="paragraph" w:styleId="Heading9">
    <w:name w:val="heading 9"/>
    <w:basedOn w:val="Normal"/>
    <w:next w:val="Normal"/>
    <w:link w:val="Heading9Char"/>
    <w:uiPriority w:val="99"/>
    <w:qFormat/>
    <w:rsid w:val="00180AD1"/>
    <w:pPr>
      <w:tabs>
        <w:tab w:val="num" w:pos="6390"/>
      </w:tabs>
      <w:spacing w:before="240" w:after="240" w:line="480" w:lineRule="auto"/>
      <w:ind w:left="6390" w:hanging="720"/>
      <w:jc w:val="both"/>
      <w:outlineLvl w:val="8"/>
    </w:pPr>
    <w:rPr>
      <w:rFonts w:cs="Arial"/>
      <w:sz w:val="28"/>
      <w:szCs w:val="28"/>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24D1"/>
    <w:rPr>
      <w:rFonts w:ascii="Arial" w:eastAsia="Times New Roman" w:hAnsi="Arial" w:cs="Times New Roman"/>
      <w:b/>
      <w:bCs/>
      <w:szCs w:val="20"/>
    </w:rPr>
  </w:style>
  <w:style w:type="character" w:customStyle="1" w:styleId="Heading2Char">
    <w:name w:val="Heading 2 Char"/>
    <w:basedOn w:val="DefaultParagraphFont"/>
    <w:link w:val="Heading2"/>
    <w:rsid w:val="005124D1"/>
    <w:rPr>
      <w:rFonts w:ascii="Arial" w:eastAsia="Times New Roman" w:hAnsi="Arial" w:cs="Times New Roman"/>
      <w:b/>
      <w:bCs/>
      <w:szCs w:val="20"/>
    </w:rPr>
  </w:style>
  <w:style w:type="character" w:customStyle="1" w:styleId="Heading3Char">
    <w:name w:val="Heading 3 Char"/>
    <w:basedOn w:val="DefaultParagraphFont"/>
    <w:link w:val="Heading3"/>
    <w:rsid w:val="005124D1"/>
    <w:rPr>
      <w:rFonts w:ascii="Arial" w:eastAsia="Times New Roman" w:hAnsi="Arial" w:cs="Times New Roman"/>
      <w:b/>
      <w:bCs/>
      <w:szCs w:val="20"/>
      <w:u w:val="single"/>
    </w:rPr>
  </w:style>
  <w:style w:type="character" w:customStyle="1" w:styleId="Heading4Char">
    <w:name w:val="Heading 4 Char"/>
    <w:basedOn w:val="DefaultParagraphFont"/>
    <w:link w:val="Heading4"/>
    <w:uiPriority w:val="9"/>
    <w:rsid w:val="005124D1"/>
    <w:rPr>
      <w:rFonts w:asciiTheme="majorHAnsi" w:eastAsiaTheme="majorEastAsia" w:hAnsiTheme="majorHAnsi" w:cstheme="majorBidi"/>
      <w:b/>
      <w:bCs/>
      <w:i/>
      <w:iCs/>
      <w:color w:val="4F81BD" w:themeColor="accent1"/>
      <w:sz w:val="24"/>
      <w:szCs w:val="24"/>
      <w:lang w:val="en-GB"/>
    </w:rPr>
  </w:style>
  <w:style w:type="character" w:customStyle="1" w:styleId="Heading6Char">
    <w:name w:val="Heading 6 Char"/>
    <w:basedOn w:val="DefaultParagraphFont"/>
    <w:link w:val="Heading6"/>
    <w:uiPriority w:val="9"/>
    <w:semiHidden/>
    <w:rsid w:val="005124D1"/>
    <w:rPr>
      <w:rFonts w:asciiTheme="majorHAnsi" w:eastAsiaTheme="majorEastAsia" w:hAnsiTheme="majorHAnsi" w:cstheme="majorBidi"/>
      <w:i/>
      <w:iCs/>
      <w:color w:val="243F60" w:themeColor="accent1" w:themeShade="7F"/>
      <w:sz w:val="24"/>
      <w:szCs w:val="24"/>
      <w:lang w:val="en-GB"/>
    </w:rPr>
  </w:style>
  <w:style w:type="paragraph" w:styleId="BodyText">
    <w:name w:val="Body Text"/>
    <w:basedOn w:val="Normal"/>
    <w:link w:val="BodyTextChar"/>
    <w:semiHidden/>
    <w:rsid w:val="005124D1"/>
    <w:pPr>
      <w:spacing w:line="360" w:lineRule="auto"/>
      <w:jc w:val="both"/>
    </w:pPr>
    <w:rPr>
      <w:rFonts w:ascii="Arial" w:hAnsi="Arial"/>
      <w:sz w:val="22"/>
      <w:szCs w:val="20"/>
    </w:rPr>
  </w:style>
  <w:style w:type="character" w:customStyle="1" w:styleId="BodyTextChar">
    <w:name w:val="Body Text Char"/>
    <w:basedOn w:val="DefaultParagraphFont"/>
    <w:link w:val="BodyText"/>
    <w:semiHidden/>
    <w:rsid w:val="005124D1"/>
    <w:rPr>
      <w:rFonts w:ascii="Arial" w:eastAsia="Times New Roman" w:hAnsi="Arial" w:cs="Times New Roman"/>
      <w:szCs w:val="20"/>
      <w:lang w:val="en-GB"/>
    </w:rPr>
  </w:style>
  <w:style w:type="paragraph" w:styleId="ListParagraph">
    <w:name w:val="List Paragraph"/>
    <w:basedOn w:val="Normal"/>
    <w:link w:val="ListParagraphChar"/>
    <w:uiPriority w:val="34"/>
    <w:qFormat/>
    <w:rsid w:val="005124D1"/>
    <w:pPr>
      <w:ind w:left="720"/>
    </w:pPr>
  </w:style>
  <w:style w:type="character" w:customStyle="1" w:styleId="ListParagraphChar">
    <w:name w:val="List Paragraph Char"/>
    <w:basedOn w:val="DefaultParagraphFont"/>
    <w:link w:val="ListParagraph"/>
    <w:uiPriority w:val="34"/>
    <w:rsid w:val="005124D1"/>
    <w:rPr>
      <w:rFonts w:ascii="Times New Roman" w:eastAsia="Times New Roman" w:hAnsi="Times New Roman" w:cs="Times New Roman"/>
      <w:sz w:val="24"/>
      <w:szCs w:val="24"/>
      <w:lang w:val="en-GB"/>
    </w:rPr>
  </w:style>
  <w:style w:type="character" w:customStyle="1" w:styleId="Style1">
    <w:name w:val="Style1"/>
    <w:basedOn w:val="DefaultParagraphFont"/>
    <w:uiPriority w:val="1"/>
    <w:qFormat/>
    <w:rsid w:val="005124D1"/>
    <w:rPr>
      <w:rFonts w:ascii="Arial" w:hAnsi="Arial"/>
      <w:sz w:val="22"/>
    </w:rPr>
  </w:style>
  <w:style w:type="character" w:customStyle="1" w:styleId="Style2">
    <w:name w:val="Style2"/>
    <w:basedOn w:val="DefaultParagraphFont"/>
    <w:uiPriority w:val="1"/>
    <w:qFormat/>
    <w:rsid w:val="005124D1"/>
    <w:rPr>
      <w:rFonts w:ascii="Arial" w:hAnsi="Arial"/>
      <w:b/>
      <w:sz w:val="22"/>
    </w:rPr>
  </w:style>
  <w:style w:type="paragraph" w:styleId="BalloonText">
    <w:name w:val="Balloon Text"/>
    <w:basedOn w:val="Normal"/>
    <w:link w:val="BalloonTextChar"/>
    <w:uiPriority w:val="99"/>
    <w:semiHidden/>
    <w:unhideWhenUsed/>
    <w:rsid w:val="005124D1"/>
    <w:rPr>
      <w:rFonts w:ascii="Tahoma" w:hAnsi="Tahoma" w:cs="Tahoma"/>
      <w:sz w:val="16"/>
      <w:szCs w:val="16"/>
    </w:rPr>
  </w:style>
  <w:style w:type="character" w:customStyle="1" w:styleId="BalloonTextChar">
    <w:name w:val="Balloon Text Char"/>
    <w:basedOn w:val="DefaultParagraphFont"/>
    <w:link w:val="BalloonText"/>
    <w:uiPriority w:val="99"/>
    <w:semiHidden/>
    <w:rsid w:val="005124D1"/>
    <w:rPr>
      <w:rFonts w:ascii="Tahoma" w:eastAsia="Times New Roman" w:hAnsi="Tahoma" w:cs="Tahoma"/>
      <w:sz w:val="16"/>
      <w:szCs w:val="16"/>
      <w:lang w:val="en-GB"/>
    </w:rPr>
  </w:style>
  <w:style w:type="paragraph" w:styleId="FootnoteText">
    <w:name w:val="footnote text"/>
    <w:aliases w:val="Footnote Text Char Char,Footnote Text Char1 Char Char,Footnote Text Char Char Char Char Char,Footnote Text Char Char1 Char Char,Footnote Text Char Char1,Footnote Text Char Char Char Char,Char,fn,Footnote Text Char Car,ALTS FOOTNOTE,Car"/>
    <w:basedOn w:val="Normal"/>
    <w:link w:val="FootnoteTextChar"/>
    <w:uiPriority w:val="99"/>
    <w:unhideWhenUsed/>
    <w:qFormat/>
    <w:rsid w:val="005124D1"/>
    <w:rPr>
      <w:sz w:val="20"/>
      <w:szCs w:val="20"/>
    </w:rPr>
  </w:style>
  <w:style w:type="character" w:customStyle="1" w:styleId="FootnoteTextChar">
    <w:name w:val="Footnote Text Char"/>
    <w:aliases w:val="Footnote Text Char Char Char,Footnote Text Char1 Char Char Char,Footnote Text Char Char Char Char Char Char,Footnote Text Char Char1 Char Char Char,Footnote Text Char Char1 Char,Footnote Text Char Char Char Char Char1,Char Char"/>
    <w:basedOn w:val="DefaultParagraphFont"/>
    <w:link w:val="FootnoteText"/>
    <w:uiPriority w:val="99"/>
    <w:rsid w:val="005124D1"/>
    <w:rPr>
      <w:rFonts w:ascii="Times New Roman" w:eastAsia="Times New Roman" w:hAnsi="Times New Roman" w:cs="Times New Roman"/>
      <w:sz w:val="20"/>
      <w:szCs w:val="20"/>
      <w:lang w:val="en-GB"/>
    </w:rPr>
  </w:style>
  <w:style w:type="character" w:styleId="FootnoteReference">
    <w:name w:val="footnote reference"/>
    <w:aliases w:val="fr,(NECG) Footnote Reference,o,Ref,de nota al pie,註腳內容,Footnote symbol,Footnote"/>
    <w:basedOn w:val="DefaultParagraphFont"/>
    <w:uiPriority w:val="99"/>
    <w:unhideWhenUsed/>
    <w:rsid w:val="005124D1"/>
    <w:rPr>
      <w:vertAlign w:val="superscript"/>
    </w:rPr>
  </w:style>
  <w:style w:type="paragraph" w:styleId="NoSpacing">
    <w:name w:val="No Spacing"/>
    <w:uiPriority w:val="1"/>
    <w:qFormat/>
    <w:rsid w:val="005124D1"/>
    <w:pPr>
      <w:spacing w:after="0" w:line="240" w:lineRule="auto"/>
    </w:pPr>
  </w:style>
  <w:style w:type="character" w:styleId="Hyperlink">
    <w:name w:val="Hyperlink"/>
    <w:basedOn w:val="DefaultParagraphFont"/>
    <w:uiPriority w:val="99"/>
    <w:unhideWhenUsed/>
    <w:rsid w:val="005124D1"/>
    <w:rPr>
      <w:color w:val="0000FF" w:themeColor="hyperlink"/>
      <w:u w:val="single"/>
    </w:rPr>
  </w:style>
  <w:style w:type="paragraph" w:styleId="HTMLPreformatted">
    <w:name w:val="HTML Preformatted"/>
    <w:basedOn w:val="Normal"/>
    <w:link w:val="HTMLPreformattedChar"/>
    <w:uiPriority w:val="99"/>
    <w:unhideWhenUsed/>
    <w:rsid w:val="00512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ZA" w:eastAsia="en-ZA"/>
    </w:rPr>
  </w:style>
  <w:style w:type="character" w:customStyle="1" w:styleId="HTMLPreformattedChar">
    <w:name w:val="HTML Preformatted Char"/>
    <w:basedOn w:val="DefaultParagraphFont"/>
    <w:link w:val="HTMLPreformatted"/>
    <w:uiPriority w:val="99"/>
    <w:rsid w:val="005124D1"/>
    <w:rPr>
      <w:rFonts w:ascii="Courier New" w:eastAsia="Times New Roman" w:hAnsi="Courier New" w:cs="Courier New"/>
      <w:sz w:val="20"/>
      <w:szCs w:val="20"/>
      <w:lang w:eastAsia="en-ZA"/>
    </w:rPr>
  </w:style>
  <w:style w:type="character" w:customStyle="1" w:styleId="CharacterStyle13">
    <w:name w:val="Character Style 13"/>
    <w:uiPriority w:val="99"/>
    <w:rsid w:val="005124D1"/>
    <w:rPr>
      <w:sz w:val="20"/>
      <w:szCs w:val="20"/>
    </w:rPr>
  </w:style>
  <w:style w:type="paragraph" w:customStyle="1" w:styleId="Style20">
    <w:name w:val="Style 2"/>
    <w:basedOn w:val="Normal"/>
    <w:uiPriority w:val="99"/>
    <w:rsid w:val="005124D1"/>
    <w:pPr>
      <w:widowControl w:val="0"/>
      <w:autoSpaceDE w:val="0"/>
      <w:autoSpaceDN w:val="0"/>
      <w:adjustRightInd w:val="0"/>
    </w:pPr>
    <w:rPr>
      <w:rFonts w:eastAsiaTheme="minorEastAsia"/>
      <w:sz w:val="20"/>
      <w:szCs w:val="20"/>
      <w:lang w:val="en-US" w:eastAsia="en-ZA"/>
    </w:rPr>
  </w:style>
  <w:style w:type="character" w:customStyle="1" w:styleId="CharacterStyle15">
    <w:name w:val="Character Style 15"/>
    <w:uiPriority w:val="99"/>
    <w:rsid w:val="005124D1"/>
    <w:rPr>
      <w:rFonts w:ascii="Verdana" w:hAnsi="Verdana" w:cs="Verdana"/>
      <w:sz w:val="16"/>
      <w:szCs w:val="16"/>
    </w:rPr>
  </w:style>
  <w:style w:type="paragraph" w:customStyle="1" w:styleId="Style7">
    <w:name w:val="Style 7"/>
    <w:basedOn w:val="Normal"/>
    <w:uiPriority w:val="99"/>
    <w:rsid w:val="005124D1"/>
    <w:pPr>
      <w:widowControl w:val="0"/>
      <w:autoSpaceDE w:val="0"/>
      <w:autoSpaceDN w:val="0"/>
      <w:spacing w:line="360" w:lineRule="auto"/>
      <w:ind w:right="72"/>
      <w:jc w:val="both"/>
    </w:pPr>
    <w:rPr>
      <w:rFonts w:ascii="Verdana" w:eastAsiaTheme="minorEastAsia" w:hAnsi="Verdana" w:cs="Verdana"/>
      <w:sz w:val="16"/>
      <w:szCs w:val="16"/>
      <w:lang w:val="en-US" w:eastAsia="en-ZA"/>
    </w:rPr>
  </w:style>
  <w:style w:type="paragraph" w:customStyle="1" w:styleId="Style15">
    <w:name w:val="Style 15"/>
    <w:basedOn w:val="Normal"/>
    <w:uiPriority w:val="99"/>
    <w:rsid w:val="005124D1"/>
    <w:pPr>
      <w:widowControl w:val="0"/>
      <w:autoSpaceDE w:val="0"/>
      <w:autoSpaceDN w:val="0"/>
      <w:adjustRightInd w:val="0"/>
    </w:pPr>
    <w:rPr>
      <w:rFonts w:ascii="Verdana" w:eastAsiaTheme="minorEastAsia" w:hAnsi="Verdana" w:cs="Verdana"/>
      <w:sz w:val="17"/>
      <w:szCs w:val="17"/>
      <w:lang w:val="en-US" w:eastAsia="en-ZA"/>
    </w:rPr>
  </w:style>
  <w:style w:type="character" w:customStyle="1" w:styleId="CharacterStyle16">
    <w:name w:val="Character Style 16"/>
    <w:uiPriority w:val="99"/>
    <w:rsid w:val="005124D1"/>
    <w:rPr>
      <w:rFonts w:ascii="Verdana" w:hAnsi="Verdana" w:cs="Verdana"/>
      <w:sz w:val="17"/>
      <w:szCs w:val="17"/>
    </w:rPr>
  </w:style>
  <w:style w:type="paragraph" w:customStyle="1" w:styleId="Style23">
    <w:name w:val="Style 23"/>
    <w:basedOn w:val="Normal"/>
    <w:uiPriority w:val="99"/>
    <w:rsid w:val="005124D1"/>
    <w:pPr>
      <w:widowControl w:val="0"/>
      <w:autoSpaceDE w:val="0"/>
      <w:autoSpaceDN w:val="0"/>
      <w:spacing w:before="36" w:line="273" w:lineRule="auto"/>
      <w:ind w:left="648" w:right="72" w:hanging="360"/>
      <w:jc w:val="both"/>
    </w:pPr>
    <w:rPr>
      <w:rFonts w:ascii="Verdana" w:eastAsiaTheme="minorEastAsia" w:hAnsi="Verdana" w:cs="Verdana"/>
      <w:sz w:val="17"/>
      <w:szCs w:val="17"/>
      <w:lang w:val="en-US" w:eastAsia="en-ZA"/>
    </w:rPr>
  </w:style>
  <w:style w:type="character" w:customStyle="1" w:styleId="HeaderChar">
    <w:name w:val="Header Char"/>
    <w:basedOn w:val="DefaultParagraphFont"/>
    <w:link w:val="Header"/>
    <w:uiPriority w:val="99"/>
    <w:rsid w:val="005124D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5124D1"/>
    <w:pPr>
      <w:tabs>
        <w:tab w:val="center" w:pos="4513"/>
        <w:tab w:val="right" w:pos="9026"/>
      </w:tabs>
    </w:pPr>
  </w:style>
  <w:style w:type="paragraph" w:styleId="Footer">
    <w:name w:val="footer"/>
    <w:basedOn w:val="Normal"/>
    <w:link w:val="FooterChar"/>
    <w:uiPriority w:val="99"/>
    <w:unhideWhenUsed/>
    <w:rsid w:val="005124D1"/>
    <w:pPr>
      <w:tabs>
        <w:tab w:val="center" w:pos="4513"/>
        <w:tab w:val="right" w:pos="9026"/>
      </w:tabs>
    </w:pPr>
  </w:style>
  <w:style w:type="character" w:customStyle="1" w:styleId="FooterChar">
    <w:name w:val="Footer Char"/>
    <w:basedOn w:val="DefaultParagraphFont"/>
    <w:link w:val="Footer"/>
    <w:uiPriority w:val="99"/>
    <w:rsid w:val="005124D1"/>
    <w:rPr>
      <w:rFonts w:ascii="Times New Roman" w:eastAsia="Times New Roman" w:hAnsi="Times New Roman" w:cs="Times New Roman"/>
      <w:sz w:val="24"/>
      <w:szCs w:val="24"/>
      <w:lang w:val="en-GB"/>
    </w:rPr>
  </w:style>
  <w:style w:type="character" w:customStyle="1" w:styleId="CharacterStyle1">
    <w:name w:val="Character Style 1"/>
    <w:uiPriority w:val="99"/>
    <w:rsid w:val="005124D1"/>
    <w:rPr>
      <w:rFonts w:ascii="Arial" w:hAnsi="Arial" w:cs="Arial"/>
      <w:sz w:val="20"/>
      <w:szCs w:val="20"/>
    </w:rPr>
  </w:style>
  <w:style w:type="character" w:customStyle="1" w:styleId="CharacterStyle4">
    <w:name w:val="Character Style 4"/>
    <w:uiPriority w:val="99"/>
    <w:rsid w:val="005124D1"/>
    <w:rPr>
      <w:sz w:val="20"/>
      <w:szCs w:val="20"/>
    </w:rPr>
  </w:style>
  <w:style w:type="paragraph" w:customStyle="1" w:styleId="Style33">
    <w:name w:val="Style 33"/>
    <w:basedOn w:val="Normal"/>
    <w:uiPriority w:val="99"/>
    <w:rsid w:val="005124D1"/>
    <w:pPr>
      <w:widowControl w:val="0"/>
      <w:autoSpaceDE w:val="0"/>
      <w:autoSpaceDN w:val="0"/>
      <w:adjustRightInd w:val="0"/>
    </w:pPr>
    <w:rPr>
      <w:rFonts w:eastAsiaTheme="minorEastAsia"/>
      <w:sz w:val="20"/>
      <w:szCs w:val="20"/>
      <w:lang w:val="en-US" w:eastAsia="en-ZA"/>
    </w:rPr>
  </w:style>
  <w:style w:type="paragraph" w:customStyle="1" w:styleId="Style10">
    <w:name w:val="Style 10"/>
    <w:basedOn w:val="Normal"/>
    <w:uiPriority w:val="99"/>
    <w:rsid w:val="005124D1"/>
    <w:pPr>
      <w:widowControl w:val="0"/>
      <w:autoSpaceDE w:val="0"/>
      <w:autoSpaceDN w:val="0"/>
      <w:spacing w:before="252" w:line="360" w:lineRule="auto"/>
      <w:ind w:left="72" w:right="144"/>
      <w:jc w:val="both"/>
    </w:pPr>
    <w:rPr>
      <w:rFonts w:ascii="Arial" w:eastAsiaTheme="minorEastAsia" w:hAnsi="Arial" w:cs="Arial"/>
      <w:sz w:val="20"/>
      <w:szCs w:val="20"/>
      <w:lang w:val="en-US" w:eastAsia="en-ZA"/>
    </w:rPr>
  </w:style>
  <w:style w:type="paragraph" w:customStyle="1" w:styleId="Style32">
    <w:name w:val="Style 32"/>
    <w:basedOn w:val="Normal"/>
    <w:uiPriority w:val="99"/>
    <w:rsid w:val="005124D1"/>
    <w:pPr>
      <w:widowControl w:val="0"/>
      <w:autoSpaceDE w:val="0"/>
      <w:autoSpaceDN w:val="0"/>
      <w:spacing w:before="216" w:after="8424" w:line="360" w:lineRule="auto"/>
      <w:ind w:left="72" w:right="72"/>
      <w:jc w:val="both"/>
    </w:pPr>
    <w:rPr>
      <w:rFonts w:ascii="Arial" w:eastAsiaTheme="minorEastAsia" w:hAnsi="Arial" w:cs="Arial"/>
      <w:sz w:val="20"/>
      <w:szCs w:val="20"/>
      <w:lang w:val="en-US" w:eastAsia="en-ZA"/>
    </w:rPr>
  </w:style>
  <w:style w:type="paragraph" w:customStyle="1" w:styleId="Style11">
    <w:name w:val="Style 1"/>
    <w:basedOn w:val="Normal"/>
    <w:uiPriority w:val="99"/>
    <w:rsid w:val="005124D1"/>
    <w:pPr>
      <w:widowControl w:val="0"/>
      <w:autoSpaceDE w:val="0"/>
      <w:autoSpaceDN w:val="0"/>
      <w:adjustRightInd w:val="0"/>
    </w:pPr>
    <w:rPr>
      <w:rFonts w:eastAsiaTheme="minorEastAsia"/>
      <w:sz w:val="20"/>
      <w:szCs w:val="20"/>
      <w:lang w:val="en-US" w:eastAsia="en-ZA"/>
    </w:rPr>
  </w:style>
  <w:style w:type="character" w:customStyle="1" w:styleId="CharacterStyle2">
    <w:name w:val="Character Style 2"/>
    <w:uiPriority w:val="99"/>
    <w:rsid w:val="005124D1"/>
    <w:rPr>
      <w:sz w:val="20"/>
      <w:szCs w:val="20"/>
    </w:rPr>
  </w:style>
  <w:style w:type="character" w:customStyle="1" w:styleId="CharacterStyle3">
    <w:name w:val="Character Style 3"/>
    <w:uiPriority w:val="99"/>
    <w:rsid w:val="005124D1"/>
    <w:rPr>
      <w:rFonts w:ascii="Verdana" w:hAnsi="Verdana" w:cs="Verdana"/>
      <w:sz w:val="21"/>
      <w:szCs w:val="21"/>
    </w:rPr>
  </w:style>
  <w:style w:type="character" w:customStyle="1" w:styleId="CharacterStyle7">
    <w:name w:val="Character Style 7"/>
    <w:uiPriority w:val="99"/>
    <w:rsid w:val="005124D1"/>
    <w:rPr>
      <w:rFonts w:ascii="Arial" w:hAnsi="Arial" w:cs="Arial"/>
      <w:b/>
      <w:bCs/>
      <w:sz w:val="21"/>
      <w:szCs w:val="21"/>
    </w:rPr>
  </w:style>
  <w:style w:type="paragraph" w:customStyle="1" w:styleId="Style3">
    <w:name w:val="Style 3"/>
    <w:basedOn w:val="Normal"/>
    <w:uiPriority w:val="99"/>
    <w:rsid w:val="005124D1"/>
    <w:pPr>
      <w:widowControl w:val="0"/>
      <w:autoSpaceDE w:val="0"/>
      <w:autoSpaceDN w:val="0"/>
      <w:spacing w:before="324" w:line="288" w:lineRule="exact"/>
      <w:ind w:left="144"/>
    </w:pPr>
    <w:rPr>
      <w:rFonts w:eastAsiaTheme="minorEastAsia"/>
      <w:lang w:val="en-US" w:eastAsia="en-ZA"/>
    </w:rPr>
  </w:style>
  <w:style w:type="paragraph" w:customStyle="1" w:styleId="Style4">
    <w:name w:val="Style 4"/>
    <w:basedOn w:val="Normal"/>
    <w:uiPriority w:val="99"/>
    <w:rsid w:val="005124D1"/>
    <w:pPr>
      <w:widowControl w:val="0"/>
      <w:autoSpaceDE w:val="0"/>
      <w:autoSpaceDN w:val="0"/>
      <w:spacing w:before="324" w:line="288" w:lineRule="exact"/>
      <w:ind w:left="864"/>
    </w:pPr>
    <w:rPr>
      <w:rFonts w:eastAsiaTheme="minorEastAsia"/>
      <w:lang w:val="en-US" w:eastAsia="en-ZA"/>
    </w:rPr>
  </w:style>
  <w:style w:type="paragraph" w:customStyle="1" w:styleId="Style6">
    <w:name w:val="Style 6"/>
    <w:basedOn w:val="Normal"/>
    <w:uiPriority w:val="99"/>
    <w:rsid w:val="005124D1"/>
    <w:pPr>
      <w:widowControl w:val="0"/>
      <w:autoSpaceDE w:val="0"/>
      <w:autoSpaceDN w:val="0"/>
      <w:spacing w:line="199" w:lineRule="auto"/>
      <w:jc w:val="right"/>
    </w:pPr>
    <w:rPr>
      <w:rFonts w:ascii="Bookman Old Style" w:eastAsiaTheme="minorEastAsia" w:hAnsi="Bookman Old Style" w:cs="Bookman Old Style"/>
      <w:sz w:val="6"/>
      <w:szCs w:val="6"/>
      <w:lang w:val="en-US" w:eastAsia="en-ZA"/>
    </w:rPr>
  </w:style>
  <w:style w:type="character" w:customStyle="1" w:styleId="BodyTextIndent2Char">
    <w:name w:val="Body Text Indent 2 Char"/>
    <w:basedOn w:val="DefaultParagraphFont"/>
    <w:link w:val="BodyTextIndent2"/>
    <w:uiPriority w:val="99"/>
    <w:semiHidden/>
    <w:rsid w:val="005124D1"/>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semiHidden/>
    <w:unhideWhenUsed/>
    <w:rsid w:val="005124D1"/>
    <w:pPr>
      <w:spacing w:after="120" w:line="480" w:lineRule="auto"/>
      <w:ind w:left="283"/>
    </w:pPr>
  </w:style>
  <w:style w:type="paragraph" w:customStyle="1" w:styleId="Style5">
    <w:name w:val="Style 5"/>
    <w:basedOn w:val="Normal"/>
    <w:uiPriority w:val="99"/>
    <w:rsid w:val="005124D1"/>
    <w:pPr>
      <w:widowControl w:val="0"/>
      <w:autoSpaceDE w:val="0"/>
      <w:autoSpaceDN w:val="0"/>
      <w:spacing w:before="360" w:line="360" w:lineRule="auto"/>
      <w:ind w:left="1584" w:right="144" w:hanging="720"/>
      <w:jc w:val="both"/>
    </w:pPr>
    <w:rPr>
      <w:rFonts w:eastAsiaTheme="minorEastAsia"/>
      <w:lang w:val="en-US" w:eastAsia="en-ZA"/>
    </w:rPr>
  </w:style>
  <w:style w:type="paragraph" w:customStyle="1" w:styleId="Style21">
    <w:name w:val="Style 21"/>
    <w:basedOn w:val="Normal"/>
    <w:uiPriority w:val="99"/>
    <w:rsid w:val="005124D1"/>
    <w:pPr>
      <w:widowControl w:val="0"/>
      <w:autoSpaceDE w:val="0"/>
      <w:autoSpaceDN w:val="0"/>
      <w:spacing w:before="180"/>
      <w:ind w:left="216"/>
    </w:pPr>
    <w:rPr>
      <w:rFonts w:ascii="Arial" w:eastAsiaTheme="minorEastAsia" w:hAnsi="Arial" w:cs="Arial"/>
      <w:lang w:val="en-US" w:eastAsia="en-ZA"/>
    </w:rPr>
  </w:style>
  <w:style w:type="paragraph" w:customStyle="1" w:styleId="Style22">
    <w:name w:val="Style 22"/>
    <w:basedOn w:val="Normal"/>
    <w:uiPriority w:val="99"/>
    <w:rsid w:val="005124D1"/>
    <w:pPr>
      <w:widowControl w:val="0"/>
      <w:autoSpaceDE w:val="0"/>
      <w:autoSpaceDN w:val="0"/>
      <w:spacing w:before="252"/>
      <w:ind w:left="72"/>
    </w:pPr>
    <w:rPr>
      <w:rFonts w:ascii="Arial" w:eastAsiaTheme="minorEastAsia" w:hAnsi="Arial" w:cs="Arial"/>
      <w:lang w:val="en-US" w:eastAsia="en-ZA"/>
    </w:rPr>
  </w:style>
  <w:style w:type="character" w:customStyle="1" w:styleId="BodyTextIndentChar">
    <w:name w:val="Body Text Indent Char"/>
    <w:basedOn w:val="DefaultParagraphFont"/>
    <w:link w:val="BodyTextIndent"/>
    <w:uiPriority w:val="99"/>
    <w:semiHidden/>
    <w:rsid w:val="005124D1"/>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semiHidden/>
    <w:unhideWhenUsed/>
    <w:rsid w:val="005124D1"/>
    <w:pPr>
      <w:spacing w:after="120"/>
      <w:ind w:left="283"/>
    </w:pPr>
  </w:style>
  <w:style w:type="table" w:styleId="TableGrid">
    <w:name w:val="Table Grid"/>
    <w:basedOn w:val="TableNormal"/>
    <w:uiPriority w:val="59"/>
    <w:rsid w:val="005124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0">
    <w:name w:val="Style 11"/>
    <w:basedOn w:val="Normal"/>
    <w:uiPriority w:val="99"/>
    <w:rsid w:val="005124D1"/>
    <w:pPr>
      <w:widowControl w:val="0"/>
      <w:autoSpaceDE w:val="0"/>
      <w:autoSpaceDN w:val="0"/>
      <w:spacing w:before="252" w:line="288" w:lineRule="exact"/>
      <w:ind w:left="720"/>
    </w:pPr>
    <w:rPr>
      <w:rFonts w:ascii="Arial" w:eastAsiaTheme="minorEastAsia" w:hAnsi="Arial" w:cs="Arial"/>
      <w:lang w:val="en-US" w:eastAsia="en-ZA"/>
    </w:rPr>
  </w:style>
  <w:style w:type="paragraph" w:customStyle="1" w:styleId="Style8">
    <w:name w:val="Style 8"/>
    <w:basedOn w:val="Normal"/>
    <w:uiPriority w:val="99"/>
    <w:rsid w:val="005124D1"/>
    <w:pPr>
      <w:widowControl w:val="0"/>
      <w:autoSpaceDE w:val="0"/>
      <w:autoSpaceDN w:val="0"/>
      <w:spacing w:line="280" w:lineRule="auto"/>
      <w:ind w:left="864"/>
    </w:pPr>
    <w:rPr>
      <w:rFonts w:eastAsiaTheme="minorEastAsia"/>
      <w:sz w:val="26"/>
      <w:szCs w:val="26"/>
      <w:lang w:val="en-US" w:eastAsia="en-ZA"/>
    </w:rPr>
  </w:style>
  <w:style w:type="character" w:customStyle="1" w:styleId="CharacterStyle12">
    <w:name w:val="Character Style 12"/>
    <w:uiPriority w:val="99"/>
    <w:rsid w:val="005124D1"/>
    <w:rPr>
      <w:sz w:val="26"/>
    </w:rPr>
  </w:style>
  <w:style w:type="paragraph" w:customStyle="1" w:styleId="Style13">
    <w:name w:val="Style 13"/>
    <w:basedOn w:val="Normal"/>
    <w:uiPriority w:val="99"/>
    <w:rsid w:val="005124D1"/>
    <w:pPr>
      <w:widowControl w:val="0"/>
      <w:autoSpaceDE w:val="0"/>
      <w:autoSpaceDN w:val="0"/>
      <w:spacing w:before="396" w:line="408" w:lineRule="exact"/>
      <w:ind w:left="1008" w:right="72" w:hanging="936"/>
      <w:jc w:val="both"/>
    </w:pPr>
    <w:rPr>
      <w:rFonts w:eastAsiaTheme="minorEastAsia"/>
      <w:sz w:val="26"/>
      <w:szCs w:val="26"/>
      <w:lang w:val="en-US" w:eastAsia="en-ZA"/>
    </w:rPr>
  </w:style>
  <w:style w:type="paragraph" w:customStyle="1" w:styleId="Style12">
    <w:name w:val="Style 12"/>
    <w:basedOn w:val="Normal"/>
    <w:uiPriority w:val="99"/>
    <w:rsid w:val="005124D1"/>
    <w:pPr>
      <w:widowControl w:val="0"/>
      <w:autoSpaceDE w:val="0"/>
      <w:autoSpaceDN w:val="0"/>
      <w:spacing w:before="468" w:line="360" w:lineRule="auto"/>
      <w:ind w:left="1008" w:right="72" w:hanging="864"/>
      <w:jc w:val="both"/>
    </w:pPr>
    <w:rPr>
      <w:rFonts w:eastAsiaTheme="minorEastAsia"/>
      <w:sz w:val="26"/>
      <w:szCs w:val="26"/>
      <w:lang w:val="en-US" w:eastAsia="en-ZA"/>
    </w:rPr>
  </w:style>
  <w:style w:type="character" w:customStyle="1" w:styleId="CharacterStyle17">
    <w:name w:val="Character Style 17"/>
    <w:uiPriority w:val="99"/>
    <w:rsid w:val="005124D1"/>
    <w:rPr>
      <w:sz w:val="23"/>
    </w:rPr>
  </w:style>
  <w:style w:type="paragraph" w:customStyle="1" w:styleId="Style44">
    <w:name w:val="Style 44"/>
    <w:basedOn w:val="Normal"/>
    <w:uiPriority w:val="99"/>
    <w:rsid w:val="005124D1"/>
    <w:pPr>
      <w:widowControl w:val="0"/>
      <w:autoSpaceDE w:val="0"/>
      <w:autoSpaceDN w:val="0"/>
      <w:spacing w:before="504" w:line="321" w:lineRule="auto"/>
      <w:ind w:left="1008" w:right="72" w:hanging="864"/>
      <w:jc w:val="both"/>
    </w:pPr>
    <w:rPr>
      <w:rFonts w:eastAsiaTheme="minorEastAsia"/>
      <w:i/>
      <w:iCs/>
      <w:sz w:val="26"/>
      <w:szCs w:val="26"/>
      <w:lang w:val="en-US" w:eastAsia="en-ZA"/>
    </w:rPr>
  </w:style>
  <w:style w:type="paragraph" w:customStyle="1" w:styleId="Style45">
    <w:name w:val="Style 45"/>
    <w:basedOn w:val="Normal"/>
    <w:uiPriority w:val="99"/>
    <w:rsid w:val="005124D1"/>
    <w:pPr>
      <w:widowControl w:val="0"/>
      <w:autoSpaceDE w:val="0"/>
      <w:autoSpaceDN w:val="0"/>
      <w:spacing w:before="468" w:line="360" w:lineRule="auto"/>
      <w:ind w:left="1008" w:right="72" w:hanging="936"/>
    </w:pPr>
    <w:rPr>
      <w:rFonts w:eastAsiaTheme="minorEastAsia"/>
      <w:lang w:val="en-US" w:eastAsia="en-ZA"/>
    </w:rPr>
  </w:style>
  <w:style w:type="character" w:customStyle="1" w:styleId="CharacterStyle14">
    <w:name w:val="Character Style 14"/>
    <w:uiPriority w:val="99"/>
    <w:rsid w:val="005124D1"/>
    <w:rPr>
      <w:sz w:val="24"/>
    </w:rPr>
  </w:style>
  <w:style w:type="paragraph" w:customStyle="1" w:styleId="Style9">
    <w:name w:val="Style 9"/>
    <w:basedOn w:val="Normal"/>
    <w:uiPriority w:val="99"/>
    <w:rsid w:val="005124D1"/>
    <w:pPr>
      <w:widowControl w:val="0"/>
      <w:autoSpaceDE w:val="0"/>
      <w:autoSpaceDN w:val="0"/>
      <w:spacing w:before="252" w:line="480" w:lineRule="auto"/>
      <w:ind w:left="360" w:hanging="288"/>
      <w:jc w:val="both"/>
    </w:pPr>
    <w:rPr>
      <w:rFonts w:ascii="Arial" w:eastAsiaTheme="minorEastAsia" w:hAnsi="Arial" w:cs="Arial"/>
      <w:lang w:val="en-US" w:eastAsia="en-ZA"/>
    </w:rPr>
  </w:style>
  <w:style w:type="character" w:styleId="Emphasis">
    <w:name w:val="Emphasis"/>
    <w:basedOn w:val="DefaultParagraphFont"/>
    <w:uiPriority w:val="20"/>
    <w:qFormat/>
    <w:rsid w:val="005124D1"/>
    <w:rPr>
      <w:b/>
      <w:bCs/>
      <w:i w:val="0"/>
      <w:iCs w:val="0"/>
    </w:rPr>
  </w:style>
  <w:style w:type="character" w:customStyle="1" w:styleId="st">
    <w:name w:val="st"/>
    <w:basedOn w:val="DefaultParagraphFont"/>
    <w:rsid w:val="005124D1"/>
  </w:style>
  <w:style w:type="paragraph" w:customStyle="1" w:styleId="Style18">
    <w:name w:val="Style 18"/>
    <w:basedOn w:val="Normal"/>
    <w:uiPriority w:val="99"/>
    <w:rsid w:val="005124D1"/>
    <w:pPr>
      <w:widowControl w:val="0"/>
      <w:autoSpaceDE w:val="0"/>
      <w:autoSpaceDN w:val="0"/>
      <w:spacing w:line="480" w:lineRule="auto"/>
      <w:ind w:left="864" w:right="72"/>
      <w:jc w:val="both"/>
    </w:pPr>
    <w:rPr>
      <w:rFonts w:ascii="Arial" w:eastAsiaTheme="minorEastAsia" w:hAnsi="Arial" w:cs="Arial"/>
      <w:lang w:val="en-US" w:eastAsia="en-ZA"/>
    </w:rPr>
  </w:style>
  <w:style w:type="paragraph" w:customStyle="1" w:styleId="Style17">
    <w:name w:val="Style 17"/>
    <w:basedOn w:val="Normal"/>
    <w:uiPriority w:val="99"/>
    <w:rsid w:val="005124D1"/>
    <w:pPr>
      <w:widowControl w:val="0"/>
      <w:autoSpaceDE w:val="0"/>
      <w:autoSpaceDN w:val="0"/>
      <w:adjustRightInd w:val="0"/>
    </w:pPr>
    <w:rPr>
      <w:rFonts w:eastAsiaTheme="minorEastAsia"/>
      <w:sz w:val="26"/>
      <w:szCs w:val="26"/>
      <w:lang w:val="en-US" w:eastAsia="en-ZA"/>
    </w:rPr>
  </w:style>
  <w:style w:type="paragraph" w:customStyle="1" w:styleId="Style19">
    <w:name w:val="Style 19"/>
    <w:basedOn w:val="Normal"/>
    <w:uiPriority w:val="99"/>
    <w:rsid w:val="005124D1"/>
    <w:pPr>
      <w:widowControl w:val="0"/>
      <w:autoSpaceDE w:val="0"/>
      <w:autoSpaceDN w:val="0"/>
      <w:spacing w:before="252" w:line="288" w:lineRule="exact"/>
      <w:ind w:left="1800"/>
    </w:pPr>
    <w:rPr>
      <w:rFonts w:eastAsiaTheme="minorEastAsia"/>
      <w:lang w:val="en-US" w:eastAsia="en-ZA"/>
    </w:rPr>
  </w:style>
  <w:style w:type="paragraph" w:customStyle="1" w:styleId="Style14">
    <w:name w:val="Style 14"/>
    <w:basedOn w:val="Normal"/>
    <w:uiPriority w:val="99"/>
    <w:rsid w:val="005124D1"/>
    <w:pPr>
      <w:widowControl w:val="0"/>
      <w:autoSpaceDE w:val="0"/>
      <w:autoSpaceDN w:val="0"/>
      <w:spacing w:before="432"/>
      <w:ind w:left="1728" w:right="72"/>
      <w:jc w:val="both"/>
    </w:pPr>
    <w:rPr>
      <w:rFonts w:eastAsiaTheme="minorEastAsia"/>
      <w:lang w:val="en-US" w:eastAsia="en-ZA"/>
    </w:rPr>
  </w:style>
  <w:style w:type="paragraph" w:customStyle="1" w:styleId="Style26">
    <w:name w:val="Style 26"/>
    <w:basedOn w:val="Normal"/>
    <w:uiPriority w:val="99"/>
    <w:rsid w:val="005124D1"/>
    <w:pPr>
      <w:widowControl w:val="0"/>
      <w:autoSpaceDE w:val="0"/>
      <w:autoSpaceDN w:val="0"/>
      <w:spacing w:before="216" w:line="276" w:lineRule="auto"/>
      <w:ind w:left="792" w:right="144" w:hanging="576"/>
      <w:jc w:val="both"/>
    </w:pPr>
    <w:rPr>
      <w:rFonts w:eastAsiaTheme="minorEastAsia"/>
      <w:lang w:val="en-US" w:eastAsia="en-ZA"/>
    </w:rPr>
  </w:style>
  <w:style w:type="paragraph" w:customStyle="1" w:styleId="Style24">
    <w:name w:val="Style 24"/>
    <w:basedOn w:val="Normal"/>
    <w:uiPriority w:val="99"/>
    <w:rsid w:val="005124D1"/>
    <w:pPr>
      <w:widowControl w:val="0"/>
      <w:autoSpaceDE w:val="0"/>
      <w:autoSpaceDN w:val="0"/>
      <w:spacing w:before="216" w:line="278" w:lineRule="auto"/>
      <w:ind w:left="648" w:hanging="576"/>
      <w:jc w:val="both"/>
    </w:pPr>
    <w:rPr>
      <w:rFonts w:eastAsiaTheme="minorEastAsia"/>
      <w:lang w:val="en-US" w:eastAsia="en-ZA"/>
    </w:rPr>
  </w:style>
  <w:style w:type="character" w:customStyle="1" w:styleId="PlainTextChar">
    <w:name w:val="Plain Text Char"/>
    <w:basedOn w:val="DefaultParagraphFont"/>
    <w:link w:val="PlainText"/>
    <w:uiPriority w:val="99"/>
    <w:semiHidden/>
    <w:rsid w:val="005124D1"/>
    <w:rPr>
      <w:rFonts w:ascii="Consolas" w:hAnsi="Consolas"/>
      <w:sz w:val="21"/>
      <w:szCs w:val="21"/>
    </w:rPr>
  </w:style>
  <w:style w:type="paragraph" w:styleId="PlainText">
    <w:name w:val="Plain Text"/>
    <w:basedOn w:val="Normal"/>
    <w:link w:val="PlainTextChar"/>
    <w:uiPriority w:val="99"/>
    <w:semiHidden/>
    <w:unhideWhenUsed/>
    <w:rsid w:val="005124D1"/>
    <w:rPr>
      <w:rFonts w:ascii="Consolas" w:eastAsiaTheme="minorHAnsi" w:hAnsi="Consolas" w:cstheme="minorBidi"/>
      <w:sz w:val="21"/>
      <w:szCs w:val="21"/>
      <w:lang w:val="en-ZA"/>
    </w:rPr>
  </w:style>
  <w:style w:type="paragraph" w:customStyle="1" w:styleId="Style51">
    <w:name w:val="Style 51"/>
    <w:basedOn w:val="Normal"/>
    <w:uiPriority w:val="99"/>
    <w:rsid w:val="005124D1"/>
    <w:pPr>
      <w:widowControl w:val="0"/>
      <w:autoSpaceDE w:val="0"/>
      <w:autoSpaceDN w:val="0"/>
      <w:spacing w:before="252" w:line="396" w:lineRule="exact"/>
      <w:ind w:left="576" w:right="72" w:hanging="504"/>
      <w:jc w:val="both"/>
    </w:pPr>
    <w:rPr>
      <w:rFonts w:eastAsiaTheme="minorEastAsia"/>
      <w:lang w:val="en-US" w:eastAsia="en-ZA"/>
    </w:rPr>
  </w:style>
  <w:style w:type="paragraph" w:customStyle="1" w:styleId="Style16">
    <w:name w:val="Style 16"/>
    <w:basedOn w:val="Normal"/>
    <w:uiPriority w:val="99"/>
    <w:rsid w:val="005124D1"/>
    <w:pPr>
      <w:widowControl w:val="0"/>
      <w:autoSpaceDE w:val="0"/>
      <w:autoSpaceDN w:val="0"/>
      <w:spacing w:before="108" w:line="372" w:lineRule="exact"/>
      <w:ind w:left="1872" w:hanging="648"/>
      <w:jc w:val="both"/>
    </w:pPr>
    <w:rPr>
      <w:rFonts w:ascii="Arial" w:eastAsiaTheme="minorEastAsia" w:hAnsi="Arial" w:cs="Arial"/>
      <w:i/>
      <w:iCs/>
      <w:lang w:val="en-US" w:eastAsia="en-ZA"/>
    </w:rPr>
  </w:style>
  <w:style w:type="character" w:customStyle="1" w:styleId="CharacterStyle6">
    <w:name w:val="Character Style 6"/>
    <w:uiPriority w:val="99"/>
    <w:rsid w:val="005124D1"/>
    <w:rPr>
      <w:rFonts w:ascii="Tahoma" w:hAnsi="Tahoma"/>
      <w:sz w:val="22"/>
    </w:rPr>
  </w:style>
  <w:style w:type="paragraph" w:customStyle="1" w:styleId="Clause2Sub">
    <w:name w:val="Clause2Sub"/>
    <w:basedOn w:val="Normal"/>
    <w:rsid w:val="005124D1"/>
    <w:pPr>
      <w:numPr>
        <w:ilvl w:val="1"/>
        <w:numId w:val="1"/>
      </w:numPr>
      <w:spacing w:after="240" w:line="360" w:lineRule="atLeast"/>
      <w:jc w:val="both"/>
    </w:pPr>
    <w:rPr>
      <w:rFonts w:ascii="Arial" w:hAnsi="Arial"/>
      <w:sz w:val="20"/>
      <w:szCs w:val="20"/>
      <w:lang w:eastAsia="en-GB"/>
    </w:rPr>
  </w:style>
  <w:style w:type="paragraph" w:customStyle="1" w:styleId="Clause1Head">
    <w:name w:val="Clause1Head"/>
    <w:basedOn w:val="Normal"/>
    <w:next w:val="Normal"/>
    <w:rsid w:val="005124D1"/>
    <w:pPr>
      <w:keepNext/>
      <w:numPr>
        <w:numId w:val="1"/>
      </w:numPr>
      <w:spacing w:after="240" w:line="360" w:lineRule="atLeast"/>
      <w:jc w:val="both"/>
    </w:pPr>
    <w:rPr>
      <w:rFonts w:ascii="Arial" w:hAnsi="Arial"/>
      <w:b/>
      <w:sz w:val="20"/>
      <w:szCs w:val="20"/>
      <w:lang w:eastAsia="en-GB"/>
    </w:rPr>
  </w:style>
  <w:style w:type="paragraph" w:customStyle="1" w:styleId="Clause3Sub">
    <w:name w:val="Clause3Sub"/>
    <w:basedOn w:val="Normal"/>
    <w:rsid w:val="005124D1"/>
    <w:pPr>
      <w:numPr>
        <w:ilvl w:val="2"/>
        <w:numId w:val="1"/>
      </w:numPr>
      <w:spacing w:after="240" w:line="360" w:lineRule="atLeast"/>
      <w:jc w:val="both"/>
    </w:pPr>
    <w:rPr>
      <w:rFonts w:ascii="Arial" w:hAnsi="Arial"/>
      <w:sz w:val="20"/>
      <w:szCs w:val="20"/>
      <w:lang w:eastAsia="en-GB"/>
    </w:rPr>
  </w:style>
  <w:style w:type="paragraph" w:customStyle="1" w:styleId="Clause4Sub">
    <w:name w:val="Clause4Sub"/>
    <w:basedOn w:val="Normal"/>
    <w:rsid w:val="005124D1"/>
    <w:pPr>
      <w:numPr>
        <w:ilvl w:val="3"/>
        <w:numId w:val="1"/>
      </w:numPr>
      <w:spacing w:after="240" w:line="360" w:lineRule="atLeast"/>
      <w:jc w:val="both"/>
    </w:pPr>
    <w:rPr>
      <w:rFonts w:ascii="Arial" w:hAnsi="Arial"/>
      <w:sz w:val="20"/>
      <w:szCs w:val="20"/>
      <w:lang w:eastAsia="en-GB"/>
    </w:rPr>
  </w:style>
  <w:style w:type="paragraph" w:customStyle="1" w:styleId="Clause5Sub">
    <w:name w:val="Clause5Sub"/>
    <w:basedOn w:val="Normal"/>
    <w:rsid w:val="005124D1"/>
    <w:pPr>
      <w:numPr>
        <w:ilvl w:val="4"/>
        <w:numId w:val="1"/>
      </w:numPr>
      <w:spacing w:after="240" w:line="360" w:lineRule="atLeast"/>
      <w:jc w:val="both"/>
    </w:pPr>
    <w:rPr>
      <w:rFonts w:ascii="Arial" w:hAnsi="Arial"/>
      <w:sz w:val="20"/>
      <w:szCs w:val="20"/>
      <w:lang w:eastAsia="en-GB"/>
    </w:rPr>
  </w:style>
  <w:style w:type="paragraph" w:customStyle="1" w:styleId="Clause6Sub">
    <w:name w:val="Clause6Sub"/>
    <w:basedOn w:val="Normal"/>
    <w:rsid w:val="005124D1"/>
    <w:pPr>
      <w:numPr>
        <w:ilvl w:val="5"/>
        <w:numId w:val="1"/>
      </w:numPr>
      <w:spacing w:after="240" w:line="360" w:lineRule="atLeast"/>
      <w:jc w:val="both"/>
    </w:pPr>
    <w:rPr>
      <w:rFonts w:ascii="Arial" w:hAnsi="Arial"/>
      <w:sz w:val="20"/>
      <w:szCs w:val="20"/>
      <w:lang w:eastAsia="en-GB"/>
    </w:rPr>
  </w:style>
  <w:style w:type="paragraph" w:customStyle="1" w:styleId="Clause7Sub">
    <w:name w:val="Clause7Sub"/>
    <w:basedOn w:val="Normal"/>
    <w:rsid w:val="005124D1"/>
    <w:pPr>
      <w:numPr>
        <w:ilvl w:val="6"/>
        <w:numId w:val="1"/>
      </w:numPr>
      <w:spacing w:after="240" w:line="360" w:lineRule="atLeast"/>
      <w:jc w:val="both"/>
    </w:pPr>
    <w:rPr>
      <w:rFonts w:ascii="Arial" w:hAnsi="Arial"/>
      <w:sz w:val="20"/>
      <w:szCs w:val="20"/>
      <w:lang w:eastAsia="en-GB"/>
    </w:rPr>
  </w:style>
  <w:style w:type="paragraph" w:customStyle="1" w:styleId="Clause8Sub">
    <w:name w:val="Clause8Sub"/>
    <w:basedOn w:val="Normal"/>
    <w:rsid w:val="005124D1"/>
    <w:pPr>
      <w:numPr>
        <w:ilvl w:val="7"/>
        <w:numId w:val="1"/>
      </w:numPr>
      <w:spacing w:after="240" w:line="360" w:lineRule="atLeast"/>
      <w:jc w:val="both"/>
    </w:pPr>
    <w:rPr>
      <w:rFonts w:ascii="Arial" w:hAnsi="Arial"/>
      <w:sz w:val="20"/>
      <w:szCs w:val="20"/>
      <w:lang w:eastAsia="en-GB"/>
    </w:rPr>
  </w:style>
  <w:style w:type="paragraph" w:customStyle="1" w:styleId="Clause9Sub">
    <w:name w:val="Clause9Sub"/>
    <w:basedOn w:val="Normal"/>
    <w:rsid w:val="005124D1"/>
    <w:pPr>
      <w:numPr>
        <w:ilvl w:val="8"/>
        <w:numId w:val="1"/>
      </w:numPr>
      <w:spacing w:after="240" w:line="360" w:lineRule="atLeast"/>
      <w:jc w:val="both"/>
    </w:pPr>
    <w:rPr>
      <w:rFonts w:ascii="Arial" w:hAnsi="Arial"/>
      <w:sz w:val="20"/>
      <w:szCs w:val="20"/>
      <w:lang w:eastAsia="en-GB"/>
    </w:rPr>
  </w:style>
  <w:style w:type="character" w:styleId="CommentReference">
    <w:name w:val="annotation reference"/>
    <w:basedOn w:val="DefaultParagraphFont"/>
    <w:uiPriority w:val="99"/>
    <w:semiHidden/>
    <w:unhideWhenUsed/>
    <w:rsid w:val="0032101E"/>
    <w:rPr>
      <w:sz w:val="16"/>
      <w:szCs w:val="16"/>
    </w:rPr>
  </w:style>
  <w:style w:type="paragraph" w:styleId="CommentText">
    <w:name w:val="annotation text"/>
    <w:basedOn w:val="Normal"/>
    <w:link w:val="CommentTextChar"/>
    <w:uiPriority w:val="99"/>
    <w:semiHidden/>
    <w:unhideWhenUsed/>
    <w:rsid w:val="0032101E"/>
    <w:rPr>
      <w:sz w:val="20"/>
      <w:szCs w:val="20"/>
    </w:rPr>
  </w:style>
  <w:style w:type="character" w:customStyle="1" w:styleId="CommentTextChar">
    <w:name w:val="Comment Text Char"/>
    <w:basedOn w:val="DefaultParagraphFont"/>
    <w:link w:val="CommentText"/>
    <w:uiPriority w:val="99"/>
    <w:semiHidden/>
    <w:rsid w:val="0032101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2101E"/>
    <w:rPr>
      <w:b/>
      <w:bCs/>
    </w:rPr>
  </w:style>
  <w:style w:type="character" w:customStyle="1" w:styleId="CommentSubjectChar">
    <w:name w:val="Comment Subject Char"/>
    <w:basedOn w:val="CommentTextChar"/>
    <w:link w:val="CommentSubject"/>
    <w:uiPriority w:val="99"/>
    <w:semiHidden/>
    <w:rsid w:val="0032101E"/>
    <w:rPr>
      <w:rFonts w:ascii="Times New Roman" w:eastAsia="Times New Roman" w:hAnsi="Times New Roman" w:cs="Times New Roman"/>
      <w:b/>
      <w:bCs/>
      <w:sz w:val="20"/>
      <w:szCs w:val="20"/>
      <w:lang w:val="en-GB"/>
    </w:rPr>
  </w:style>
  <w:style w:type="table" w:customStyle="1" w:styleId="LightList1">
    <w:name w:val="Light List1"/>
    <w:basedOn w:val="TableNormal"/>
    <w:uiPriority w:val="61"/>
    <w:rsid w:val="00273D4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MainHead">
    <w:name w:val="Main Head"/>
    <w:basedOn w:val="Normal"/>
    <w:next w:val="Normal"/>
    <w:rsid w:val="00985A92"/>
    <w:pPr>
      <w:spacing w:before="240" w:after="240" w:line="480" w:lineRule="auto"/>
      <w:jc w:val="center"/>
    </w:pPr>
    <w:rPr>
      <w:rFonts w:cs="Arial"/>
      <w:b/>
      <w:caps/>
      <w:sz w:val="28"/>
      <w:szCs w:val="28"/>
      <w:u w:val="single"/>
      <w:lang w:val="en-ZA"/>
    </w:rPr>
  </w:style>
  <w:style w:type="character" w:customStyle="1" w:styleId="Heading5Char">
    <w:name w:val="Heading 5 Char"/>
    <w:basedOn w:val="DefaultParagraphFont"/>
    <w:link w:val="Heading5"/>
    <w:rsid w:val="00180AD1"/>
    <w:rPr>
      <w:rFonts w:ascii="Times New Roman" w:eastAsia="Times New Roman" w:hAnsi="Times New Roman" w:cs="Arial"/>
      <w:sz w:val="28"/>
      <w:szCs w:val="28"/>
    </w:rPr>
  </w:style>
  <w:style w:type="character" w:customStyle="1" w:styleId="Heading7Char">
    <w:name w:val="Heading 7 Char"/>
    <w:basedOn w:val="DefaultParagraphFont"/>
    <w:link w:val="Heading7"/>
    <w:uiPriority w:val="99"/>
    <w:rsid w:val="00180AD1"/>
    <w:rPr>
      <w:rFonts w:ascii="Times New Roman" w:eastAsia="Times New Roman" w:hAnsi="Times New Roman" w:cs="Arial"/>
      <w:sz w:val="28"/>
      <w:szCs w:val="28"/>
    </w:rPr>
  </w:style>
  <w:style w:type="character" w:customStyle="1" w:styleId="Heading8Char">
    <w:name w:val="Heading 8 Char"/>
    <w:basedOn w:val="DefaultParagraphFont"/>
    <w:link w:val="Heading8"/>
    <w:uiPriority w:val="99"/>
    <w:rsid w:val="00180AD1"/>
    <w:rPr>
      <w:rFonts w:ascii="Times New Roman" w:eastAsia="Times New Roman" w:hAnsi="Times New Roman" w:cs="Arial"/>
      <w:sz w:val="28"/>
      <w:szCs w:val="28"/>
    </w:rPr>
  </w:style>
  <w:style w:type="character" w:customStyle="1" w:styleId="Heading9Char">
    <w:name w:val="Heading 9 Char"/>
    <w:basedOn w:val="DefaultParagraphFont"/>
    <w:link w:val="Heading9"/>
    <w:uiPriority w:val="99"/>
    <w:rsid w:val="00180AD1"/>
    <w:rPr>
      <w:rFonts w:ascii="Times New Roman" w:eastAsia="Times New Roman" w:hAnsi="Times New Roman" w:cs="Arial"/>
      <w:sz w:val="28"/>
      <w:szCs w:val="28"/>
    </w:rPr>
  </w:style>
  <w:style w:type="paragraph" w:customStyle="1" w:styleId="GParagraphNumb">
    <w:name w:val="G: Paragraph Numb"/>
    <w:basedOn w:val="Normal"/>
    <w:qFormat/>
    <w:rsid w:val="00490075"/>
    <w:pPr>
      <w:numPr>
        <w:numId w:val="3"/>
      </w:numPr>
      <w:spacing w:before="200" w:after="200" w:line="288" w:lineRule="auto"/>
      <w:jc w:val="both"/>
    </w:pPr>
    <w:rPr>
      <w:rFonts w:ascii="Arial" w:eastAsia="Calibri" w:hAnsi="Arial"/>
      <w:sz w:val="20"/>
      <w:szCs w:val="22"/>
      <w:lang w:val="en-US"/>
    </w:rPr>
  </w:style>
  <w:style w:type="numbering" w:customStyle="1" w:styleId="GOutlineParagraph">
    <w:name w:val="G: Outline Paragraph"/>
    <w:uiPriority w:val="99"/>
    <w:rsid w:val="00490075"/>
    <w:pPr>
      <w:numPr>
        <w:numId w:val="3"/>
      </w:numPr>
    </w:pPr>
  </w:style>
  <w:style w:type="paragraph" w:customStyle="1" w:styleId="Quotations">
    <w:name w:val="Quotations"/>
    <w:basedOn w:val="BodyText"/>
    <w:qFormat/>
    <w:rsid w:val="00045BDA"/>
    <w:pPr>
      <w:suppressAutoHyphens/>
      <w:spacing w:before="120" w:after="400"/>
      <w:ind w:left="1440" w:right="720"/>
      <w:contextualSpacing/>
    </w:pPr>
    <w:rPr>
      <w:rFonts w:ascii="Times New Roman" w:hAnsi="Times New Roman"/>
      <w:i/>
      <w:iCs/>
      <w:sz w:val="24"/>
      <w:lang w:eastAsia="en-GB"/>
    </w:rPr>
  </w:style>
  <w:style w:type="paragraph" w:customStyle="1" w:styleId="BGHeading1AltQ">
    <w:name w:val="BGHeading1 Alt+Q"/>
    <w:basedOn w:val="Heading1"/>
    <w:uiPriority w:val="99"/>
    <w:rsid w:val="006C6999"/>
    <w:pPr>
      <w:tabs>
        <w:tab w:val="num" w:pos="720"/>
      </w:tabs>
      <w:suppressAutoHyphens/>
      <w:spacing w:line="360" w:lineRule="auto"/>
      <w:ind w:left="720" w:hanging="720"/>
    </w:pPr>
    <w:rPr>
      <w:rFonts w:cs="Arial"/>
      <w:b w:val="0"/>
      <w:kern w:val="32"/>
      <w:szCs w:val="22"/>
      <w:lang w:val="en-GB"/>
    </w:rPr>
  </w:style>
  <w:style w:type="paragraph" w:customStyle="1" w:styleId="BGHeading3AltZ">
    <w:name w:val="BGHeading3 Alt+Z"/>
    <w:basedOn w:val="Heading3"/>
    <w:uiPriority w:val="99"/>
    <w:rsid w:val="006B54CB"/>
    <w:pPr>
      <w:keepNext w:val="0"/>
      <w:widowControl w:val="0"/>
      <w:tabs>
        <w:tab w:val="num" w:pos="2160"/>
      </w:tabs>
      <w:suppressAutoHyphens/>
      <w:spacing w:line="360" w:lineRule="auto"/>
      <w:ind w:left="720" w:hanging="2160"/>
    </w:pPr>
    <w:rPr>
      <w:rFonts w:cs="Arial"/>
      <w:b w:val="0"/>
      <w:szCs w:val="22"/>
      <w:u w:val="none"/>
      <w:lang w:val="en-GB"/>
    </w:rPr>
  </w:style>
  <w:style w:type="paragraph" w:customStyle="1" w:styleId="BGNormal">
    <w:name w:val="BGNormal"/>
    <w:basedOn w:val="Normal"/>
    <w:uiPriority w:val="99"/>
    <w:rsid w:val="006B54CB"/>
    <w:pPr>
      <w:widowControl w:val="0"/>
      <w:suppressAutoHyphens/>
      <w:spacing w:after="240" w:line="360" w:lineRule="auto"/>
      <w:jc w:val="both"/>
    </w:pPr>
    <w:rPr>
      <w:rFonts w:ascii="Arial" w:hAnsi="Arial"/>
      <w:sz w:val="22"/>
      <w:szCs w:val="22"/>
      <w:lang w:eastAsia="en-GB"/>
    </w:rPr>
  </w:style>
  <w:style w:type="paragraph" w:customStyle="1" w:styleId="BGHeading2AltA">
    <w:name w:val="BGHeading2 Alt+A"/>
    <w:basedOn w:val="Heading2"/>
    <w:uiPriority w:val="99"/>
    <w:rsid w:val="00A313D4"/>
    <w:pPr>
      <w:keepNext w:val="0"/>
      <w:widowControl w:val="0"/>
      <w:tabs>
        <w:tab w:val="num" w:pos="1440"/>
      </w:tabs>
      <w:suppressAutoHyphens/>
      <w:spacing w:line="360" w:lineRule="auto"/>
      <w:ind w:left="720" w:hanging="1440"/>
      <w:jc w:val="both"/>
    </w:pPr>
    <w:rPr>
      <w:rFonts w:cs="Arial"/>
      <w:b w:val="0"/>
      <w:iCs/>
      <w:szCs w:val="22"/>
      <w:lang w:val="en-GB"/>
    </w:rPr>
  </w:style>
</w:styles>
</file>

<file path=word/webSettings.xml><?xml version="1.0" encoding="utf-8"?>
<w:webSettings xmlns:r="http://schemas.openxmlformats.org/officeDocument/2006/relationships" xmlns:w="http://schemas.openxmlformats.org/wordprocessingml/2006/main">
  <w:divs>
    <w:div w:id="130484544">
      <w:bodyDiv w:val="1"/>
      <w:marLeft w:val="0"/>
      <w:marRight w:val="0"/>
      <w:marTop w:val="0"/>
      <w:marBottom w:val="0"/>
      <w:divBdr>
        <w:top w:val="none" w:sz="0" w:space="0" w:color="auto"/>
        <w:left w:val="none" w:sz="0" w:space="0" w:color="auto"/>
        <w:bottom w:val="none" w:sz="0" w:space="0" w:color="auto"/>
        <w:right w:val="none" w:sz="0" w:space="0" w:color="auto"/>
      </w:divBdr>
    </w:div>
    <w:div w:id="1257788416">
      <w:bodyDiv w:val="1"/>
      <w:marLeft w:val="0"/>
      <w:marRight w:val="0"/>
      <w:marTop w:val="0"/>
      <w:marBottom w:val="0"/>
      <w:divBdr>
        <w:top w:val="none" w:sz="0" w:space="0" w:color="auto"/>
        <w:left w:val="none" w:sz="0" w:space="0" w:color="auto"/>
        <w:bottom w:val="none" w:sz="0" w:space="0" w:color="auto"/>
        <w:right w:val="none" w:sz="0" w:space="0" w:color="auto"/>
      </w:divBdr>
    </w:div>
    <w:div w:id="1467426410">
      <w:bodyDiv w:val="1"/>
      <w:marLeft w:val="0"/>
      <w:marRight w:val="0"/>
      <w:marTop w:val="0"/>
      <w:marBottom w:val="0"/>
      <w:divBdr>
        <w:top w:val="none" w:sz="0" w:space="0" w:color="auto"/>
        <w:left w:val="none" w:sz="0" w:space="0" w:color="auto"/>
        <w:bottom w:val="none" w:sz="0" w:space="0" w:color="auto"/>
        <w:right w:val="none" w:sz="0" w:space="0" w:color="auto"/>
      </w:divBdr>
    </w:div>
    <w:div w:id="1638948659">
      <w:bodyDiv w:val="1"/>
      <w:marLeft w:val="0"/>
      <w:marRight w:val="0"/>
      <w:marTop w:val="0"/>
      <w:marBottom w:val="0"/>
      <w:divBdr>
        <w:top w:val="none" w:sz="0" w:space="0" w:color="auto"/>
        <w:left w:val="none" w:sz="0" w:space="0" w:color="auto"/>
        <w:bottom w:val="none" w:sz="0" w:space="0" w:color="auto"/>
        <w:right w:val="none" w:sz="0" w:space="0" w:color="auto"/>
      </w:divBdr>
    </w:div>
    <w:div w:id="2088188622">
      <w:bodyDiv w:val="1"/>
      <w:marLeft w:val="0"/>
      <w:marRight w:val="0"/>
      <w:marTop w:val="0"/>
      <w:marBottom w:val="0"/>
      <w:divBdr>
        <w:top w:val="none" w:sz="0" w:space="0" w:color="auto"/>
        <w:left w:val="none" w:sz="0" w:space="0" w:color="auto"/>
        <w:bottom w:val="none" w:sz="0" w:space="0" w:color="auto"/>
        <w:right w:val="none" w:sz="0" w:space="0" w:color="auto"/>
      </w:divBdr>
      <w:divsChild>
        <w:div w:id="904485133">
          <w:marLeft w:val="0"/>
          <w:marRight w:val="0"/>
          <w:marTop w:val="0"/>
          <w:marBottom w:val="0"/>
          <w:divBdr>
            <w:top w:val="none" w:sz="0" w:space="0" w:color="auto"/>
            <w:left w:val="none" w:sz="0" w:space="0" w:color="auto"/>
            <w:bottom w:val="none" w:sz="0" w:space="0" w:color="auto"/>
            <w:right w:val="none" w:sz="0" w:space="0" w:color="auto"/>
          </w:divBdr>
          <w:divsChild>
            <w:div w:id="681666218">
              <w:marLeft w:val="0"/>
              <w:marRight w:val="0"/>
              <w:marTop w:val="0"/>
              <w:marBottom w:val="0"/>
              <w:divBdr>
                <w:top w:val="none" w:sz="0" w:space="0" w:color="auto"/>
                <w:left w:val="none" w:sz="0" w:space="0" w:color="auto"/>
                <w:bottom w:val="none" w:sz="0" w:space="0" w:color="auto"/>
                <w:right w:val="none" w:sz="0" w:space="0" w:color="auto"/>
              </w:divBdr>
              <w:divsChild>
                <w:div w:id="290595730">
                  <w:marLeft w:val="0"/>
                  <w:marRight w:val="0"/>
                  <w:marTop w:val="0"/>
                  <w:marBottom w:val="0"/>
                  <w:divBdr>
                    <w:top w:val="none" w:sz="0" w:space="0" w:color="auto"/>
                    <w:left w:val="none" w:sz="0" w:space="0" w:color="auto"/>
                    <w:bottom w:val="none" w:sz="0" w:space="0" w:color="auto"/>
                    <w:right w:val="none" w:sz="0" w:space="0" w:color="auto"/>
                  </w:divBdr>
                  <w:divsChild>
                    <w:div w:id="2130199434">
                      <w:marLeft w:val="0"/>
                      <w:marRight w:val="0"/>
                      <w:marTop w:val="0"/>
                      <w:marBottom w:val="0"/>
                      <w:divBdr>
                        <w:top w:val="none" w:sz="0" w:space="0" w:color="auto"/>
                        <w:left w:val="none" w:sz="0" w:space="0" w:color="auto"/>
                        <w:bottom w:val="none" w:sz="0" w:space="0" w:color="auto"/>
                        <w:right w:val="none" w:sz="0" w:space="0" w:color="auto"/>
                      </w:divBdr>
                      <w:divsChild>
                        <w:div w:id="528881125">
                          <w:marLeft w:val="0"/>
                          <w:marRight w:val="0"/>
                          <w:marTop w:val="0"/>
                          <w:marBottom w:val="0"/>
                          <w:divBdr>
                            <w:top w:val="none" w:sz="0" w:space="0" w:color="auto"/>
                            <w:left w:val="none" w:sz="0" w:space="0" w:color="auto"/>
                            <w:bottom w:val="none" w:sz="0" w:space="0" w:color="auto"/>
                            <w:right w:val="none" w:sz="0" w:space="0" w:color="auto"/>
                          </w:divBdr>
                          <w:divsChild>
                            <w:div w:id="1809736275">
                              <w:marLeft w:val="0"/>
                              <w:marRight w:val="0"/>
                              <w:marTop w:val="0"/>
                              <w:marBottom w:val="0"/>
                              <w:divBdr>
                                <w:top w:val="none" w:sz="0" w:space="0" w:color="auto"/>
                                <w:left w:val="none" w:sz="0" w:space="0" w:color="auto"/>
                                <w:bottom w:val="none" w:sz="0" w:space="0" w:color="auto"/>
                                <w:right w:val="none" w:sz="0" w:space="0" w:color="auto"/>
                              </w:divBdr>
                              <w:divsChild>
                                <w:div w:id="1554540150">
                                  <w:marLeft w:val="0"/>
                                  <w:marRight w:val="0"/>
                                  <w:marTop w:val="0"/>
                                  <w:marBottom w:val="0"/>
                                  <w:divBdr>
                                    <w:top w:val="none" w:sz="0" w:space="0" w:color="auto"/>
                                    <w:left w:val="none" w:sz="0" w:space="0" w:color="auto"/>
                                    <w:bottom w:val="none" w:sz="0" w:space="0" w:color="auto"/>
                                    <w:right w:val="none" w:sz="0" w:space="0" w:color="auto"/>
                                  </w:divBdr>
                                  <w:divsChild>
                                    <w:div w:id="1182747515">
                                      <w:marLeft w:val="0"/>
                                      <w:marRight w:val="0"/>
                                      <w:marTop w:val="0"/>
                                      <w:marBottom w:val="0"/>
                                      <w:divBdr>
                                        <w:top w:val="none" w:sz="0" w:space="0" w:color="auto"/>
                                        <w:left w:val="none" w:sz="0" w:space="0" w:color="auto"/>
                                        <w:bottom w:val="none" w:sz="0" w:space="0" w:color="auto"/>
                                        <w:right w:val="none" w:sz="0" w:space="0" w:color="auto"/>
                                      </w:divBdr>
                                      <w:divsChild>
                                        <w:div w:id="1997103473">
                                          <w:marLeft w:val="0"/>
                                          <w:marRight w:val="0"/>
                                          <w:marTop w:val="0"/>
                                          <w:marBottom w:val="0"/>
                                          <w:divBdr>
                                            <w:top w:val="none" w:sz="0" w:space="0" w:color="auto"/>
                                            <w:left w:val="none" w:sz="0" w:space="0" w:color="auto"/>
                                            <w:bottom w:val="none" w:sz="0" w:space="0" w:color="auto"/>
                                            <w:right w:val="none" w:sz="0" w:space="0" w:color="auto"/>
                                          </w:divBdr>
                                          <w:divsChild>
                                            <w:div w:id="141431272">
                                              <w:marLeft w:val="0"/>
                                              <w:marRight w:val="0"/>
                                              <w:marTop w:val="0"/>
                                              <w:marBottom w:val="0"/>
                                              <w:divBdr>
                                                <w:top w:val="none" w:sz="0" w:space="0" w:color="auto"/>
                                                <w:left w:val="none" w:sz="0" w:space="0" w:color="auto"/>
                                                <w:bottom w:val="none" w:sz="0" w:space="0" w:color="auto"/>
                                                <w:right w:val="none" w:sz="0" w:space="0" w:color="auto"/>
                                              </w:divBdr>
                                              <w:divsChild>
                                                <w:div w:id="305086185">
                                                  <w:marLeft w:val="0"/>
                                                  <w:marRight w:val="0"/>
                                                  <w:marTop w:val="0"/>
                                                  <w:marBottom w:val="0"/>
                                                  <w:divBdr>
                                                    <w:top w:val="none" w:sz="0" w:space="0" w:color="auto"/>
                                                    <w:left w:val="none" w:sz="0" w:space="0" w:color="auto"/>
                                                    <w:bottom w:val="none" w:sz="0" w:space="0" w:color="auto"/>
                                                    <w:right w:val="none" w:sz="0" w:space="0" w:color="auto"/>
                                                  </w:divBdr>
                                                  <w:divsChild>
                                                    <w:div w:id="2068793626">
                                                      <w:marLeft w:val="0"/>
                                                      <w:marRight w:val="0"/>
                                                      <w:marTop w:val="0"/>
                                                      <w:marBottom w:val="0"/>
                                                      <w:divBdr>
                                                        <w:top w:val="none" w:sz="0" w:space="0" w:color="auto"/>
                                                        <w:left w:val="none" w:sz="0" w:space="0" w:color="auto"/>
                                                        <w:bottom w:val="none" w:sz="0" w:space="0" w:color="auto"/>
                                                        <w:right w:val="none" w:sz="0" w:space="0" w:color="auto"/>
                                                      </w:divBdr>
                                                      <w:divsChild>
                                                        <w:div w:id="627783350">
                                                          <w:marLeft w:val="0"/>
                                                          <w:marRight w:val="0"/>
                                                          <w:marTop w:val="0"/>
                                                          <w:marBottom w:val="0"/>
                                                          <w:divBdr>
                                                            <w:top w:val="none" w:sz="0" w:space="0" w:color="auto"/>
                                                            <w:left w:val="none" w:sz="0" w:space="0" w:color="auto"/>
                                                            <w:bottom w:val="none" w:sz="0" w:space="0" w:color="auto"/>
                                                            <w:right w:val="none" w:sz="0" w:space="0" w:color="auto"/>
                                                          </w:divBdr>
                                                          <w:divsChild>
                                                            <w:div w:id="1063258937">
                                                              <w:marLeft w:val="0"/>
                                                              <w:marRight w:val="80"/>
                                                              <w:marTop w:val="0"/>
                                                              <w:marBottom w:val="80"/>
                                                              <w:divBdr>
                                                                <w:top w:val="none" w:sz="0" w:space="0" w:color="auto"/>
                                                                <w:left w:val="none" w:sz="0" w:space="0" w:color="auto"/>
                                                                <w:bottom w:val="none" w:sz="0" w:space="0" w:color="auto"/>
                                                                <w:right w:val="none" w:sz="0" w:space="0" w:color="auto"/>
                                                              </w:divBdr>
                                                              <w:divsChild>
                                                                <w:div w:id="450248777">
                                                                  <w:marLeft w:val="0"/>
                                                                  <w:marRight w:val="0"/>
                                                                  <w:marTop w:val="0"/>
                                                                  <w:marBottom w:val="0"/>
                                                                  <w:divBdr>
                                                                    <w:top w:val="none" w:sz="0" w:space="0" w:color="auto"/>
                                                                    <w:left w:val="none" w:sz="0" w:space="0" w:color="auto"/>
                                                                    <w:bottom w:val="none" w:sz="0" w:space="0" w:color="auto"/>
                                                                    <w:right w:val="none" w:sz="0" w:space="0" w:color="auto"/>
                                                                  </w:divBdr>
                                                                  <w:divsChild>
                                                                    <w:div w:id="1908344566">
                                                                      <w:marLeft w:val="0"/>
                                                                      <w:marRight w:val="0"/>
                                                                      <w:marTop w:val="0"/>
                                                                      <w:marBottom w:val="0"/>
                                                                      <w:divBdr>
                                                                        <w:top w:val="none" w:sz="0" w:space="0" w:color="auto"/>
                                                                        <w:left w:val="none" w:sz="0" w:space="0" w:color="auto"/>
                                                                        <w:bottom w:val="none" w:sz="0" w:space="0" w:color="auto"/>
                                                                        <w:right w:val="none" w:sz="0" w:space="0" w:color="auto"/>
                                                                      </w:divBdr>
                                                                      <w:divsChild>
                                                                        <w:div w:id="1646206454">
                                                                          <w:marLeft w:val="0"/>
                                                                          <w:marRight w:val="0"/>
                                                                          <w:marTop w:val="0"/>
                                                                          <w:marBottom w:val="0"/>
                                                                          <w:divBdr>
                                                                            <w:top w:val="none" w:sz="0" w:space="0" w:color="auto"/>
                                                                            <w:left w:val="none" w:sz="0" w:space="0" w:color="auto"/>
                                                                            <w:bottom w:val="none" w:sz="0" w:space="0" w:color="auto"/>
                                                                            <w:right w:val="none" w:sz="0" w:space="0" w:color="auto"/>
                                                                          </w:divBdr>
                                                                          <w:divsChild>
                                                                            <w:div w:id="1677340868">
                                                                              <w:marLeft w:val="0"/>
                                                                              <w:marRight w:val="0"/>
                                                                              <w:marTop w:val="0"/>
                                                                              <w:marBottom w:val="0"/>
                                                                              <w:divBdr>
                                                                                <w:top w:val="none" w:sz="0" w:space="0" w:color="auto"/>
                                                                                <w:left w:val="none" w:sz="0" w:space="0" w:color="auto"/>
                                                                                <w:bottom w:val="none" w:sz="0" w:space="0" w:color="auto"/>
                                                                                <w:right w:val="none" w:sz="0" w:space="0" w:color="auto"/>
                                                                              </w:divBdr>
                                                                              <w:divsChild>
                                                                                <w:div w:id="380521176">
                                                                                  <w:marLeft w:val="0"/>
                                                                                  <w:marRight w:val="0"/>
                                                                                  <w:marTop w:val="0"/>
                                                                                  <w:marBottom w:val="0"/>
                                                                                  <w:divBdr>
                                                                                    <w:top w:val="none" w:sz="0" w:space="0" w:color="auto"/>
                                                                                    <w:left w:val="none" w:sz="0" w:space="0" w:color="auto"/>
                                                                                    <w:bottom w:val="none" w:sz="0" w:space="0" w:color="auto"/>
                                                                                    <w:right w:val="none" w:sz="0" w:space="0" w:color="auto"/>
                                                                                  </w:divBdr>
                                                                                  <w:divsChild>
                                                                                    <w:div w:id="908922779">
                                                                                      <w:marLeft w:val="720"/>
                                                                                      <w:marRight w:val="0"/>
                                                                                      <w:marTop w:val="0"/>
                                                                                      <w:marBottom w:val="0"/>
                                                                                      <w:divBdr>
                                                                                        <w:top w:val="none" w:sz="0" w:space="0" w:color="auto"/>
                                                                                        <w:left w:val="none" w:sz="0" w:space="0" w:color="auto"/>
                                                                                        <w:bottom w:val="none" w:sz="0" w:space="0" w:color="auto"/>
                                                                                        <w:right w:val="none" w:sz="0" w:space="0" w:color="auto"/>
                                                                                      </w:divBdr>
                                                                                    </w:div>
                                                                                    <w:div w:id="753207568">
                                                                                      <w:marLeft w:val="720"/>
                                                                                      <w:marRight w:val="0"/>
                                                                                      <w:marTop w:val="0"/>
                                                                                      <w:marBottom w:val="0"/>
                                                                                      <w:divBdr>
                                                                                        <w:top w:val="none" w:sz="0" w:space="0" w:color="auto"/>
                                                                                        <w:left w:val="none" w:sz="0" w:space="0" w:color="auto"/>
                                                                                        <w:bottom w:val="none" w:sz="0" w:space="0" w:color="auto"/>
                                                                                        <w:right w:val="none" w:sz="0" w:space="0" w:color="auto"/>
                                                                                      </w:divBdr>
                                                                                    </w:div>
                                                                                    <w:div w:id="679355970">
                                                                                      <w:marLeft w:val="720"/>
                                                                                      <w:marRight w:val="0"/>
                                                                                      <w:marTop w:val="0"/>
                                                                                      <w:marBottom w:val="0"/>
                                                                                      <w:divBdr>
                                                                                        <w:top w:val="none" w:sz="0" w:space="0" w:color="auto"/>
                                                                                        <w:left w:val="none" w:sz="0" w:space="0" w:color="auto"/>
                                                                                        <w:bottom w:val="none" w:sz="0" w:space="0" w:color="auto"/>
                                                                                        <w:right w:val="none" w:sz="0" w:space="0" w:color="auto"/>
                                                                                      </w:divBdr>
                                                                                    </w:div>
                                                                                    <w:div w:id="1448307648">
                                                                                      <w:marLeft w:val="720"/>
                                                                                      <w:marRight w:val="0"/>
                                                                                      <w:marTop w:val="0"/>
                                                                                      <w:marBottom w:val="0"/>
                                                                                      <w:divBdr>
                                                                                        <w:top w:val="none" w:sz="0" w:space="0" w:color="auto"/>
                                                                                        <w:left w:val="none" w:sz="0" w:space="0" w:color="auto"/>
                                                                                        <w:bottom w:val="none" w:sz="0" w:space="0" w:color="auto"/>
                                                                                        <w:right w:val="none" w:sz="0" w:space="0" w:color="auto"/>
                                                                                      </w:divBdr>
                                                                                    </w:div>
                                                                                    <w:div w:id="1272929469">
                                                                                      <w:marLeft w:val="720"/>
                                                                                      <w:marRight w:val="0"/>
                                                                                      <w:marTop w:val="0"/>
                                                                                      <w:marBottom w:val="0"/>
                                                                                      <w:divBdr>
                                                                                        <w:top w:val="none" w:sz="0" w:space="0" w:color="auto"/>
                                                                                        <w:left w:val="none" w:sz="0" w:space="0" w:color="auto"/>
                                                                                        <w:bottom w:val="none" w:sz="0" w:space="0" w:color="auto"/>
                                                                                        <w:right w:val="none" w:sz="0" w:space="0" w:color="auto"/>
                                                                                      </w:divBdr>
                                                                                    </w:div>
                                                                                    <w:div w:id="1567568879">
                                                                                      <w:marLeft w:val="720"/>
                                                                                      <w:marRight w:val="0"/>
                                                                                      <w:marTop w:val="0"/>
                                                                                      <w:marBottom w:val="0"/>
                                                                                      <w:divBdr>
                                                                                        <w:top w:val="none" w:sz="0" w:space="0" w:color="auto"/>
                                                                                        <w:left w:val="none" w:sz="0" w:space="0" w:color="auto"/>
                                                                                        <w:bottom w:val="none" w:sz="0" w:space="0" w:color="auto"/>
                                                                                        <w:right w:val="none" w:sz="0" w:space="0" w:color="auto"/>
                                                                                      </w:divBdr>
                                                                                    </w:div>
                                                                                    <w:div w:id="2129662768">
                                                                                      <w:marLeft w:val="720"/>
                                                                                      <w:marRight w:val="0"/>
                                                                                      <w:marTop w:val="0"/>
                                                                                      <w:marBottom w:val="0"/>
                                                                                      <w:divBdr>
                                                                                        <w:top w:val="none" w:sz="0" w:space="0" w:color="auto"/>
                                                                                        <w:left w:val="none" w:sz="0" w:space="0" w:color="auto"/>
                                                                                        <w:bottom w:val="none" w:sz="0" w:space="0" w:color="auto"/>
                                                                                        <w:right w:val="none" w:sz="0" w:space="0" w:color="auto"/>
                                                                                      </w:divBdr>
                                                                                    </w:div>
                                                                                    <w:div w:id="517700284">
                                                                                      <w:marLeft w:val="720"/>
                                                                                      <w:marRight w:val="0"/>
                                                                                      <w:marTop w:val="0"/>
                                                                                      <w:marBottom w:val="0"/>
                                                                                      <w:divBdr>
                                                                                        <w:top w:val="none" w:sz="0" w:space="0" w:color="auto"/>
                                                                                        <w:left w:val="none" w:sz="0" w:space="0" w:color="auto"/>
                                                                                        <w:bottom w:val="none" w:sz="0" w:space="0" w:color="auto"/>
                                                                                        <w:right w:val="none" w:sz="0" w:space="0" w:color="auto"/>
                                                                                      </w:divBdr>
                                                                                    </w:div>
                                                                                    <w:div w:id="756559942">
                                                                                      <w:marLeft w:val="720"/>
                                                                                      <w:marRight w:val="0"/>
                                                                                      <w:marTop w:val="0"/>
                                                                                      <w:marBottom w:val="0"/>
                                                                                      <w:divBdr>
                                                                                        <w:top w:val="none" w:sz="0" w:space="0" w:color="auto"/>
                                                                                        <w:left w:val="none" w:sz="0" w:space="0" w:color="auto"/>
                                                                                        <w:bottom w:val="none" w:sz="0" w:space="0" w:color="auto"/>
                                                                                        <w:right w:val="none" w:sz="0" w:space="0" w:color="auto"/>
                                                                                      </w:divBdr>
                                                                                    </w:div>
                                                                                    <w:div w:id="51853539">
                                                                                      <w:marLeft w:val="720"/>
                                                                                      <w:marRight w:val="0"/>
                                                                                      <w:marTop w:val="0"/>
                                                                                      <w:marBottom w:val="0"/>
                                                                                      <w:divBdr>
                                                                                        <w:top w:val="none" w:sz="0" w:space="0" w:color="auto"/>
                                                                                        <w:left w:val="none" w:sz="0" w:space="0" w:color="auto"/>
                                                                                        <w:bottom w:val="none" w:sz="0" w:space="0" w:color="auto"/>
                                                                                        <w:right w:val="none" w:sz="0" w:space="0" w:color="auto"/>
                                                                                      </w:divBdr>
                                                                                    </w:div>
                                                                                    <w:div w:id="140775689">
                                                                                      <w:marLeft w:val="0"/>
                                                                                      <w:marRight w:val="0"/>
                                                                                      <w:marTop w:val="0"/>
                                                                                      <w:marBottom w:val="0"/>
                                                                                      <w:divBdr>
                                                                                        <w:top w:val="none" w:sz="0" w:space="0" w:color="auto"/>
                                                                                        <w:left w:val="none" w:sz="0" w:space="0" w:color="auto"/>
                                                                                        <w:bottom w:val="none" w:sz="0" w:space="0" w:color="auto"/>
                                                                                        <w:right w:val="none" w:sz="0" w:space="0" w:color="auto"/>
                                                                                      </w:divBdr>
                                                                                    </w:div>
                                                                                    <w:div w:id="65810156">
                                                                                      <w:marLeft w:val="720"/>
                                                                                      <w:marRight w:val="0"/>
                                                                                      <w:marTop w:val="0"/>
                                                                                      <w:marBottom w:val="200"/>
                                                                                      <w:divBdr>
                                                                                        <w:top w:val="none" w:sz="0" w:space="0" w:color="auto"/>
                                                                                        <w:left w:val="none" w:sz="0" w:space="0" w:color="auto"/>
                                                                                        <w:bottom w:val="none" w:sz="0" w:space="0" w:color="auto"/>
                                                                                        <w:right w:val="none" w:sz="0" w:space="0" w:color="auto"/>
                                                                                      </w:divBdr>
                                                                                    </w:div>
                                                                                    <w:div w:id="497114008">
                                                                                      <w:marLeft w:val="720"/>
                                                                                      <w:marRight w:val="0"/>
                                                                                      <w:marTop w:val="0"/>
                                                                                      <w:marBottom w:val="200"/>
                                                                                      <w:divBdr>
                                                                                        <w:top w:val="none" w:sz="0" w:space="0" w:color="auto"/>
                                                                                        <w:left w:val="none" w:sz="0" w:space="0" w:color="auto"/>
                                                                                        <w:bottom w:val="none" w:sz="0" w:space="0" w:color="auto"/>
                                                                                        <w:right w:val="none" w:sz="0" w:space="0" w:color="auto"/>
                                                                                      </w:divBdr>
                                                                                    </w:div>
                                                                                    <w:div w:id="8341688">
                                                                                      <w:marLeft w:val="720"/>
                                                                                      <w:marRight w:val="0"/>
                                                                                      <w:marTop w:val="0"/>
                                                                                      <w:marBottom w:val="200"/>
                                                                                      <w:divBdr>
                                                                                        <w:top w:val="none" w:sz="0" w:space="0" w:color="auto"/>
                                                                                        <w:left w:val="none" w:sz="0" w:space="0" w:color="auto"/>
                                                                                        <w:bottom w:val="none" w:sz="0" w:space="0" w:color="auto"/>
                                                                                        <w:right w:val="none" w:sz="0" w:space="0" w:color="auto"/>
                                                                                      </w:divBdr>
                                                                                    </w:div>
                                                                                    <w:div w:id="1437554572">
                                                                                      <w:marLeft w:val="720"/>
                                                                                      <w:marRight w:val="0"/>
                                                                                      <w:marTop w:val="0"/>
                                                                                      <w:marBottom w:val="200"/>
                                                                                      <w:divBdr>
                                                                                        <w:top w:val="none" w:sz="0" w:space="0" w:color="auto"/>
                                                                                        <w:left w:val="none" w:sz="0" w:space="0" w:color="auto"/>
                                                                                        <w:bottom w:val="none" w:sz="0" w:space="0" w:color="auto"/>
                                                                                        <w:right w:val="none" w:sz="0" w:space="0" w:color="auto"/>
                                                                                      </w:divBdr>
                                                                                    </w:div>
                                                                                    <w:div w:id="875391584">
                                                                                      <w:marLeft w:val="720"/>
                                                                                      <w:marRight w:val="0"/>
                                                                                      <w:marTop w:val="0"/>
                                                                                      <w:marBottom w:val="200"/>
                                                                                      <w:divBdr>
                                                                                        <w:top w:val="none" w:sz="0" w:space="0" w:color="auto"/>
                                                                                        <w:left w:val="none" w:sz="0" w:space="0" w:color="auto"/>
                                                                                        <w:bottom w:val="none" w:sz="0" w:space="0" w:color="auto"/>
                                                                                        <w:right w:val="none" w:sz="0" w:space="0" w:color="auto"/>
                                                                                      </w:divBdr>
                                                                                    </w:div>
                                                                                    <w:div w:id="341278482">
                                                                                      <w:marLeft w:val="720"/>
                                                                                      <w:marRight w:val="0"/>
                                                                                      <w:marTop w:val="0"/>
                                                                                      <w:marBottom w:val="200"/>
                                                                                      <w:divBdr>
                                                                                        <w:top w:val="none" w:sz="0" w:space="0" w:color="auto"/>
                                                                                        <w:left w:val="none" w:sz="0" w:space="0" w:color="auto"/>
                                                                                        <w:bottom w:val="none" w:sz="0" w:space="0" w:color="auto"/>
                                                                                        <w:right w:val="none" w:sz="0" w:space="0" w:color="auto"/>
                                                                                      </w:divBdr>
                                                                                    </w:div>
                                                                                    <w:div w:id="2003387357">
                                                                                      <w:marLeft w:val="72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9D25F-7718-405D-B6B2-A151E2AAF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46</Pages>
  <Words>13339</Words>
  <Characters>76035</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Quinn</dc:creator>
  <cp:lastModifiedBy>Andreas Wessels</cp:lastModifiedBy>
  <cp:revision>13</cp:revision>
  <cp:lastPrinted>2014-09-25T12:49:00Z</cp:lastPrinted>
  <dcterms:created xsi:type="dcterms:W3CDTF">2015-03-02T12:15:00Z</dcterms:created>
  <dcterms:modified xsi:type="dcterms:W3CDTF">2015-03-02T12:37:00Z</dcterms:modified>
</cp:coreProperties>
</file>